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CC665" w14:textId="77777777" w:rsidR="00B90005" w:rsidRPr="00810586" w:rsidRDefault="00B90005" w:rsidP="008100CA">
      <w:pPr>
        <w:spacing w:after="120"/>
        <w:rPr>
          <w:b/>
          <w:sz w:val="52"/>
          <w:szCs w:val="52"/>
        </w:rPr>
      </w:pPr>
      <w:r>
        <w:object w:dxaOrig="5504" w:dyaOrig="975" w14:anchorId="6CE0BD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9pt;height:42.55pt" o:ole="">
            <v:imagedata r:id="rId7" o:title=""/>
          </v:shape>
          <o:OLEObject Type="Embed" ProgID="MSPhotoEd.3" ShapeID="_x0000_i1025" DrawAspect="Content" ObjectID="_1696189057" r:id="rId8"/>
        </w:object>
      </w:r>
    </w:p>
    <w:p w14:paraId="1633CBD1" w14:textId="77777777" w:rsidR="00897E50" w:rsidRDefault="00897E50" w:rsidP="008100CA">
      <w:pPr>
        <w:spacing w:after="120"/>
        <w:rPr>
          <w:i/>
          <w:sz w:val="16"/>
          <w:szCs w:val="16"/>
        </w:rPr>
      </w:pPr>
    </w:p>
    <w:p w14:paraId="5C1EC11A" w14:textId="77777777" w:rsidR="001D4A53" w:rsidRPr="007C1DA3" w:rsidRDefault="001D4A53" w:rsidP="008100CA">
      <w:pPr>
        <w:spacing w:after="120"/>
      </w:pPr>
    </w:p>
    <w:p w14:paraId="22E2FAC8" w14:textId="1E0E26C8" w:rsidR="00897E50" w:rsidRPr="00E6102B" w:rsidRDefault="002B5533" w:rsidP="008100CA">
      <w:pPr>
        <w:spacing w:after="120"/>
        <w:jc w:val="right"/>
      </w:pPr>
      <w:r w:rsidRPr="00E6102B">
        <w:t xml:space="preserve"> </w:t>
      </w:r>
      <w:r w:rsidR="00077D56" w:rsidRPr="00E6102B">
        <w:t xml:space="preserve"> </w:t>
      </w:r>
      <w:r w:rsidR="00077D56" w:rsidRPr="00E6102B">
        <w:tab/>
      </w:r>
      <w:r w:rsidR="00077D56" w:rsidRPr="00E6102B">
        <w:tab/>
      </w:r>
      <w:r w:rsidR="00077D56" w:rsidRPr="00E6102B">
        <w:tab/>
      </w:r>
    </w:p>
    <w:p w14:paraId="78BB998D" w14:textId="77777777" w:rsidR="00897E50" w:rsidRPr="00E6102B" w:rsidRDefault="00897E50" w:rsidP="008100CA">
      <w:pPr>
        <w:spacing w:after="120"/>
        <w:rPr>
          <w:b/>
        </w:rPr>
      </w:pPr>
    </w:p>
    <w:p w14:paraId="4FFEC0B1" w14:textId="77777777" w:rsidR="007C1DA3" w:rsidRPr="00E6102B" w:rsidRDefault="007C1DA3" w:rsidP="008100CA">
      <w:pPr>
        <w:spacing w:after="120"/>
        <w:rPr>
          <w:b/>
        </w:rPr>
      </w:pPr>
    </w:p>
    <w:p w14:paraId="7C9F8A8A" w14:textId="77777777" w:rsidR="00D35B89" w:rsidRDefault="00D35B89" w:rsidP="008100CA">
      <w:pPr>
        <w:pStyle w:val="Podtitul1"/>
        <w:spacing w:after="120"/>
        <w:rPr>
          <w:b/>
          <w:bCs/>
          <w:sz w:val="48"/>
          <w:szCs w:val="48"/>
          <w:lang w:val="cs-CZ"/>
        </w:rPr>
      </w:pPr>
      <w:r>
        <w:rPr>
          <w:b/>
          <w:bCs/>
          <w:sz w:val="48"/>
          <w:szCs w:val="48"/>
          <w:lang w:val="cs-CZ"/>
        </w:rPr>
        <w:t>Pokyn</w:t>
      </w:r>
      <w:r>
        <w:rPr>
          <w:b/>
          <w:bCs/>
          <w:sz w:val="48"/>
          <w:szCs w:val="48"/>
        </w:rPr>
        <w:t xml:space="preserve"> </w:t>
      </w:r>
      <w:r>
        <w:rPr>
          <w:b/>
          <w:bCs/>
          <w:sz w:val="48"/>
          <w:szCs w:val="48"/>
          <w:lang w:val="cs-CZ"/>
        </w:rPr>
        <w:t xml:space="preserve">ředitele Krajského úřadu Středočeského kraje </w:t>
      </w:r>
    </w:p>
    <w:p w14:paraId="0F92CC4B" w14:textId="77777777" w:rsidR="00D35B89" w:rsidRDefault="00D35B89" w:rsidP="008100CA">
      <w:pPr>
        <w:pStyle w:val="Podtitul1"/>
        <w:spacing w:after="120"/>
        <w:rPr>
          <w:b/>
          <w:bCs/>
          <w:color w:val="FF0000"/>
          <w:sz w:val="48"/>
          <w:szCs w:val="48"/>
          <w:lang w:val="cs-CZ"/>
        </w:rPr>
      </w:pPr>
      <w:r>
        <w:rPr>
          <w:b/>
          <w:bCs/>
          <w:sz w:val="48"/>
          <w:szCs w:val="48"/>
          <w:lang w:val="cs-CZ"/>
        </w:rPr>
        <w:t xml:space="preserve">č. </w:t>
      </w:r>
    </w:p>
    <w:p w14:paraId="0DB40BFA" w14:textId="77777777" w:rsidR="00D35B89" w:rsidRDefault="00D35B89" w:rsidP="008100CA">
      <w:pPr>
        <w:pStyle w:val="Podtitul1"/>
        <w:spacing w:after="120"/>
        <w:rPr>
          <w:sz w:val="36"/>
          <w:lang w:val="cs-CZ"/>
        </w:rPr>
      </w:pPr>
    </w:p>
    <w:p w14:paraId="4F3C282C" w14:textId="77777777" w:rsidR="00D35B89" w:rsidRDefault="00D35B89" w:rsidP="008100CA">
      <w:pPr>
        <w:spacing w:after="120"/>
        <w:jc w:val="center"/>
        <w:rPr>
          <w:b/>
        </w:rPr>
      </w:pPr>
      <w:r>
        <w:rPr>
          <w:b/>
          <w:i/>
          <w:sz w:val="36"/>
          <w:szCs w:val="36"/>
          <w:u w:val="single"/>
        </w:rPr>
        <w:t>o informační a kybernetické bezpečnosti KÚSK</w:t>
      </w:r>
    </w:p>
    <w:p w14:paraId="51DDFC38" w14:textId="77777777" w:rsidR="00D35B89" w:rsidRDefault="00D35B89" w:rsidP="008100CA">
      <w:pPr>
        <w:spacing w:after="120"/>
        <w:rPr>
          <w:b/>
        </w:rPr>
      </w:pPr>
    </w:p>
    <w:p w14:paraId="7B33138C" w14:textId="1FF27D95" w:rsidR="00897E50" w:rsidRPr="00E6102B" w:rsidRDefault="00897E50" w:rsidP="008100CA">
      <w:pPr>
        <w:spacing w:after="120"/>
        <w:jc w:val="center"/>
        <w:rPr>
          <w:b/>
          <w:sz w:val="40"/>
          <w:szCs w:val="40"/>
        </w:rPr>
      </w:pPr>
    </w:p>
    <w:p w14:paraId="7181EC79" w14:textId="4AC8B70B" w:rsidR="00897E50" w:rsidRPr="003F03E4" w:rsidRDefault="00D35B89" w:rsidP="008100CA">
      <w:pPr>
        <w:spacing w:after="120"/>
        <w:jc w:val="center"/>
        <w:rPr>
          <w:b/>
          <w:sz w:val="32"/>
          <w:szCs w:val="32"/>
        </w:rPr>
      </w:pPr>
      <w:r w:rsidRPr="003F03E4">
        <w:rPr>
          <w:b/>
          <w:sz w:val="32"/>
          <w:szCs w:val="32"/>
        </w:rPr>
        <w:t xml:space="preserve">Příloha č. 4 - </w:t>
      </w:r>
      <w:r w:rsidR="001D4A53" w:rsidRPr="003F03E4">
        <w:rPr>
          <w:b/>
          <w:sz w:val="32"/>
          <w:szCs w:val="32"/>
        </w:rPr>
        <w:t xml:space="preserve">Politika </w:t>
      </w:r>
      <w:r w:rsidR="00CD2629" w:rsidRPr="003F03E4">
        <w:rPr>
          <w:b/>
          <w:sz w:val="32"/>
          <w:szCs w:val="32"/>
        </w:rPr>
        <w:t>řízení dodavatelů</w:t>
      </w:r>
    </w:p>
    <w:p w14:paraId="2059DFA9" w14:textId="77777777" w:rsidR="00897E50" w:rsidRPr="003F03E4" w:rsidRDefault="00897E50" w:rsidP="008100CA">
      <w:pPr>
        <w:spacing w:after="120"/>
        <w:jc w:val="center"/>
        <w:rPr>
          <w:b/>
        </w:rPr>
      </w:pPr>
    </w:p>
    <w:p w14:paraId="408265C0" w14:textId="77777777" w:rsidR="00897E50" w:rsidRPr="00376FCD" w:rsidRDefault="00897E50" w:rsidP="008100CA">
      <w:pPr>
        <w:spacing w:after="120"/>
        <w:jc w:val="center"/>
        <w:rPr>
          <w:i/>
          <w:sz w:val="22"/>
          <w:szCs w:val="22"/>
        </w:rPr>
      </w:pPr>
    </w:p>
    <w:p w14:paraId="22FCB313" w14:textId="77777777" w:rsidR="00205C19" w:rsidRDefault="00205C19" w:rsidP="008100CA">
      <w:pPr>
        <w:pStyle w:val="Zkladntextodsazen"/>
        <w:tabs>
          <w:tab w:val="left" w:pos="2160"/>
        </w:tabs>
        <w:ind w:left="2160" w:hanging="2160"/>
        <w:rPr>
          <w:b/>
          <w:bCs/>
          <w:sz w:val="32"/>
          <w:szCs w:val="32"/>
        </w:rPr>
      </w:pPr>
    </w:p>
    <w:p w14:paraId="536EAFC6" w14:textId="77777777" w:rsidR="00897E50" w:rsidRPr="00810586" w:rsidRDefault="00897E50" w:rsidP="008100CA">
      <w:pPr>
        <w:pStyle w:val="Zkladntextodsazen"/>
        <w:tabs>
          <w:tab w:val="left" w:pos="2160"/>
        </w:tabs>
        <w:ind w:left="2160" w:hanging="2160"/>
        <w:rPr>
          <w:sz w:val="28"/>
          <w:szCs w:val="28"/>
        </w:rPr>
      </w:pPr>
      <w:r w:rsidRPr="00810586">
        <w:rPr>
          <w:b/>
          <w:bCs/>
          <w:sz w:val="32"/>
          <w:szCs w:val="32"/>
        </w:rPr>
        <w:t>Závazné pro:</w:t>
      </w:r>
      <w:r w:rsidRPr="00810586">
        <w:rPr>
          <w:b/>
          <w:bCs/>
          <w:sz w:val="32"/>
          <w:szCs w:val="32"/>
        </w:rPr>
        <w:tab/>
      </w:r>
      <w:r w:rsidR="00B42A1A" w:rsidRPr="00273F9D">
        <w:rPr>
          <w:bCs/>
          <w:sz w:val="28"/>
          <w:szCs w:val="28"/>
        </w:rPr>
        <w:t>zaměstnance</w:t>
      </w:r>
      <w:r w:rsidR="00B42A1A">
        <w:rPr>
          <w:bCs/>
          <w:sz w:val="28"/>
          <w:szCs w:val="28"/>
        </w:rPr>
        <w:t xml:space="preserve"> </w:t>
      </w:r>
      <w:r w:rsidR="00B42A1A" w:rsidRPr="00273F9D">
        <w:rPr>
          <w:bCs/>
          <w:sz w:val="28"/>
          <w:szCs w:val="28"/>
        </w:rPr>
        <w:t>Středočeského kraje zařazené do Krajského úřadu Středočeského kraje</w:t>
      </w:r>
      <w:r w:rsidR="00B42A1A">
        <w:rPr>
          <w:bCs/>
          <w:sz w:val="28"/>
          <w:szCs w:val="28"/>
        </w:rPr>
        <w:t xml:space="preserve"> a </w:t>
      </w:r>
      <w:r w:rsidR="00B42A1A" w:rsidRPr="00766795">
        <w:rPr>
          <w:bCs/>
          <w:sz w:val="28"/>
          <w:szCs w:val="28"/>
        </w:rPr>
        <w:t>třetí stran</w:t>
      </w:r>
      <w:r w:rsidR="00B42A1A">
        <w:rPr>
          <w:bCs/>
          <w:sz w:val="28"/>
          <w:szCs w:val="28"/>
        </w:rPr>
        <w:t>y</w:t>
      </w:r>
      <w:r w:rsidR="00B42A1A" w:rsidRPr="00766795">
        <w:rPr>
          <w:bCs/>
          <w:sz w:val="28"/>
          <w:szCs w:val="28"/>
        </w:rPr>
        <w:t xml:space="preserve"> se smluvním závazkem</w:t>
      </w:r>
      <w:r w:rsidR="00B42A1A" w:rsidRPr="00273F9D">
        <w:rPr>
          <w:bCs/>
          <w:sz w:val="28"/>
          <w:szCs w:val="28"/>
        </w:rPr>
        <w:t xml:space="preserve"> </w:t>
      </w:r>
      <w:r w:rsidR="00B42A1A">
        <w:rPr>
          <w:bCs/>
          <w:sz w:val="28"/>
          <w:szCs w:val="28"/>
        </w:rPr>
        <w:t>ke K</w:t>
      </w:r>
      <w:r w:rsidR="00B42A1A" w:rsidRPr="00AE475C">
        <w:rPr>
          <w:bCs/>
          <w:sz w:val="28"/>
          <w:szCs w:val="28"/>
        </w:rPr>
        <w:t>rajskému úřadu</w:t>
      </w:r>
      <w:r w:rsidR="00B42A1A">
        <w:rPr>
          <w:bCs/>
          <w:sz w:val="28"/>
          <w:szCs w:val="28"/>
        </w:rPr>
        <w:t xml:space="preserve"> Středočeského </w:t>
      </w:r>
      <w:r w:rsidR="00B42A1A" w:rsidRPr="00AE475C">
        <w:rPr>
          <w:bCs/>
          <w:sz w:val="28"/>
          <w:szCs w:val="28"/>
        </w:rPr>
        <w:t>kraje</w:t>
      </w:r>
    </w:p>
    <w:p w14:paraId="585A30E5" w14:textId="77777777" w:rsidR="00897E50" w:rsidRPr="00810586" w:rsidRDefault="00897E50" w:rsidP="008100CA">
      <w:pPr>
        <w:pStyle w:val="Zkladntext3"/>
        <w:spacing w:after="120" w:line="240" w:lineRule="auto"/>
        <w:rPr>
          <w:bCs/>
          <w:i w:val="0"/>
          <w:sz w:val="32"/>
          <w:szCs w:val="32"/>
        </w:rPr>
      </w:pPr>
    </w:p>
    <w:p w14:paraId="1712A599" w14:textId="77777777" w:rsidR="00897E50" w:rsidRPr="00810586" w:rsidRDefault="00897E50" w:rsidP="008100CA">
      <w:pPr>
        <w:spacing w:after="120"/>
        <w:ind w:left="2124" w:hanging="2124"/>
        <w:rPr>
          <w:b/>
          <w:bCs/>
          <w:sz w:val="28"/>
          <w:szCs w:val="28"/>
        </w:rPr>
      </w:pPr>
      <w:r w:rsidRPr="00810586">
        <w:rPr>
          <w:b/>
          <w:bCs/>
          <w:sz w:val="32"/>
          <w:szCs w:val="32"/>
        </w:rPr>
        <w:t>Navrhovatel:</w:t>
      </w:r>
      <w:r w:rsidRPr="00810586">
        <w:rPr>
          <w:b/>
          <w:bCs/>
          <w:sz w:val="32"/>
          <w:szCs w:val="32"/>
        </w:rPr>
        <w:tab/>
      </w:r>
      <w:r w:rsidR="00B42A1A" w:rsidRPr="005D1208">
        <w:rPr>
          <w:sz w:val="28"/>
          <w:szCs w:val="28"/>
        </w:rPr>
        <w:t>Odbor bezpečnosti a krizového řízení</w:t>
      </w:r>
    </w:p>
    <w:p w14:paraId="4167A158" w14:textId="77777777" w:rsidR="00897E50" w:rsidRPr="00810586" w:rsidRDefault="00897E50" w:rsidP="008100CA">
      <w:pPr>
        <w:pStyle w:val="Zkladntext3"/>
        <w:spacing w:after="120" w:line="240" w:lineRule="auto"/>
        <w:rPr>
          <w:b/>
          <w:bCs/>
          <w:i w:val="0"/>
          <w:sz w:val="32"/>
          <w:szCs w:val="32"/>
        </w:rPr>
      </w:pPr>
    </w:p>
    <w:p w14:paraId="3FA580BD" w14:textId="77777777" w:rsidR="00897E50" w:rsidRPr="00810586" w:rsidRDefault="00897E50" w:rsidP="008100CA">
      <w:pPr>
        <w:pStyle w:val="Zkladntext3"/>
        <w:spacing w:after="120" w:line="240" w:lineRule="auto"/>
        <w:rPr>
          <w:b/>
          <w:bCs/>
          <w:i w:val="0"/>
          <w:sz w:val="32"/>
          <w:szCs w:val="32"/>
        </w:rPr>
      </w:pPr>
      <w:r w:rsidRPr="00810586">
        <w:rPr>
          <w:b/>
          <w:bCs/>
          <w:i w:val="0"/>
          <w:sz w:val="32"/>
          <w:szCs w:val="32"/>
        </w:rPr>
        <w:t>Datum vyhlášení:</w:t>
      </w:r>
      <w:r w:rsidRPr="00810586">
        <w:rPr>
          <w:b/>
          <w:bCs/>
          <w:i w:val="0"/>
          <w:sz w:val="32"/>
          <w:szCs w:val="32"/>
        </w:rPr>
        <w:tab/>
      </w:r>
    </w:p>
    <w:p w14:paraId="4B48AF59" w14:textId="77777777" w:rsidR="00897E50" w:rsidRPr="00810586" w:rsidRDefault="00897E50" w:rsidP="008100CA">
      <w:pPr>
        <w:pStyle w:val="Zkladntext3"/>
        <w:spacing w:after="120" w:line="240" w:lineRule="auto"/>
        <w:rPr>
          <w:b/>
          <w:bCs/>
          <w:i w:val="0"/>
          <w:sz w:val="32"/>
          <w:szCs w:val="32"/>
        </w:rPr>
      </w:pPr>
    </w:p>
    <w:p w14:paraId="3E7BB742" w14:textId="77777777" w:rsidR="00897E50" w:rsidRPr="00810586" w:rsidRDefault="00897E50" w:rsidP="008100CA">
      <w:pPr>
        <w:pStyle w:val="Zkladntext3"/>
        <w:spacing w:after="120" w:line="240" w:lineRule="auto"/>
        <w:rPr>
          <w:b/>
          <w:bCs/>
          <w:sz w:val="28"/>
          <w:szCs w:val="28"/>
        </w:rPr>
      </w:pPr>
      <w:r w:rsidRPr="00810586">
        <w:rPr>
          <w:b/>
          <w:bCs/>
          <w:i w:val="0"/>
          <w:sz w:val="32"/>
          <w:szCs w:val="32"/>
        </w:rPr>
        <w:t>Přílohy</w:t>
      </w:r>
      <w:r w:rsidRPr="00810586">
        <w:rPr>
          <w:b/>
          <w:bCs/>
          <w:sz w:val="32"/>
          <w:szCs w:val="32"/>
        </w:rPr>
        <w:t>:</w:t>
      </w:r>
      <w:r w:rsidRPr="00810586">
        <w:rPr>
          <w:b/>
          <w:bCs/>
          <w:sz w:val="32"/>
          <w:szCs w:val="32"/>
        </w:rPr>
        <w:tab/>
      </w:r>
      <w:r w:rsidR="00B42A1A">
        <w:rPr>
          <w:b/>
          <w:bCs/>
          <w:sz w:val="32"/>
          <w:szCs w:val="32"/>
        </w:rPr>
        <w:tab/>
      </w:r>
      <w:r w:rsidR="00B42A1A" w:rsidRPr="00B42A1A">
        <w:rPr>
          <w:i w:val="0"/>
          <w:iCs w:val="0"/>
          <w:sz w:val="28"/>
          <w:szCs w:val="28"/>
        </w:rPr>
        <w:t>Dokument neobsahuje přílohy</w:t>
      </w:r>
      <w:r w:rsidRPr="00B42A1A">
        <w:rPr>
          <w:i w:val="0"/>
          <w:iCs w:val="0"/>
          <w:sz w:val="28"/>
          <w:szCs w:val="28"/>
        </w:rPr>
        <w:tab/>
      </w:r>
    </w:p>
    <w:p w14:paraId="2B323538" w14:textId="77777777" w:rsidR="00181A1A" w:rsidRDefault="00181A1A" w:rsidP="008100CA">
      <w:pPr>
        <w:spacing w:after="120"/>
        <w:jc w:val="center"/>
        <w:rPr>
          <w:b/>
          <w:sz w:val="40"/>
          <w:szCs w:val="40"/>
        </w:rPr>
      </w:pPr>
    </w:p>
    <w:p w14:paraId="403081CE" w14:textId="58E973FD" w:rsidR="008100CA" w:rsidRDefault="008100CA" w:rsidP="008100CA">
      <w:pPr>
        <w:spacing w:after="120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14:paraId="1FF09B39" w14:textId="77777777" w:rsidR="00205C19" w:rsidRDefault="00205C19" w:rsidP="008100CA">
      <w:pPr>
        <w:spacing w:after="120"/>
        <w:jc w:val="both"/>
        <w:rPr>
          <w:b/>
        </w:rPr>
      </w:pPr>
    </w:p>
    <w:p w14:paraId="6C7F95F2" w14:textId="77777777" w:rsidR="00376FCD" w:rsidRPr="00205C19" w:rsidRDefault="00181A1A" w:rsidP="008100CA">
      <w:pPr>
        <w:spacing w:after="120"/>
        <w:jc w:val="both"/>
        <w:rPr>
          <w:b/>
          <w:sz w:val="32"/>
          <w:szCs w:val="32"/>
        </w:rPr>
      </w:pPr>
      <w:r w:rsidRPr="00205C19">
        <w:rPr>
          <w:b/>
          <w:sz w:val="32"/>
          <w:szCs w:val="32"/>
        </w:rPr>
        <w:t>Obsah:</w:t>
      </w:r>
    </w:p>
    <w:p w14:paraId="75A8669D" w14:textId="77777777" w:rsidR="00830B1A" w:rsidRPr="00376FCD" w:rsidRDefault="00830B1A" w:rsidP="008100CA">
      <w:pPr>
        <w:spacing w:after="120"/>
        <w:rPr>
          <w:i/>
          <w:sz w:val="22"/>
          <w:szCs w:val="22"/>
        </w:rPr>
      </w:pPr>
    </w:p>
    <w:p w14:paraId="60EB0005" w14:textId="104626B3" w:rsidR="00293C4D" w:rsidRDefault="00830B1A" w:rsidP="00293C4D">
      <w:pPr>
        <w:pStyle w:val="Obsah2"/>
        <w:tabs>
          <w:tab w:val="right" w:leader="dot" w:pos="9062"/>
        </w:tabs>
        <w:spacing w:after="12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sz w:val="40"/>
          <w:szCs w:val="40"/>
        </w:rPr>
        <w:fldChar w:fldCharType="begin"/>
      </w:r>
      <w:r>
        <w:rPr>
          <w:b/>
          <w:sz w:val="40"/>
          <w:szCs w:val="40"/>
        </w:rPr>
        <w:instrText xml:space="preserve"> TOC \h \z \t "Nadpis 1;2;Nadpis 2;3;Styl Část;1" </w:instrText>
      </w:r>
      <w:r>
        <w:rPr>
          <w:b/>
          <w:sz w:val="40"/>
          <w:szCs w:val="40"/>
        </w:rPr>
        <w:fldChar w:fldCharType="separate"/>
      </w:r>
      <w:hyperlink w:anchor="_Toc85572965" w:history="1">
        <w:r w:rsidR="00293C4D" w:rsidRPr="00B16305">
          <w:rPr>
            <w:rStyle w:val="Hypertextovodkaz"/>
            <w:noProof/>
          </w:rPr>
          <w:t>Článek 1 Významní dodavatelů</w:t>
        </w:r>
        <w:r w:rsidR="00293C4D">
          <w:rPr>
            <w:noProof/>
            <w:webHidden/>
          </w:rPr>
          <w:tab/>
        </w:r>
        <w:r w:rsidR="00293C4D">
          <w:rPr>
            <w:noProof/>
            <w:webHidden/>
          </w:rPr>
          <w:fldChar w:fldCharType="begin"/>
        </w:r>
        <w:r w:rsidR="00293C4D">
          <w:rPr>
            <w:noProof/>
            <w:webHidden/>
          </w:rPr>
          <w:instrText xml:space="preserve"> PAGEREF _Toc85572965 \h </w:instrText>
        </w:r>
        <w:r w:rsidR="00293C4D">
          <w:rPr>
            <w:noProof/>
            <w:webHidden/>
          </w:rPr>
        </w:r>
        <w:r w:rsidR="00293C4D">
          <w:rPr>
            <w:noProof/>
            <w:webHidden/>
          </w:rPr>
          <w:fldChar w:fldCharType="separate"/>
        </w:r>
        <w:r w:rsidR="00293C4D">
          <w:rPr>
            <w:noProof/>
            <w:webHidden/>
          </w:rPr>
          <w:t>3</w:t>
        </w:r>
        <w:r w:rsidR="00293C4D">
          <w:rPr>
            <w:noProof/>
            <w:webHidden/>
          </w:rPr>
          <w:fldChar w:fldCharType="end"/>
        </w:r>
      </w:hyperlink>
    </w:p>
    <w:p w14:paraId="326CAF3C" w14:textId="2E09BE8C" w:rsidR="00293C4D" w:rsidRDefault="00A960D1" w:rsidP="00293C4D">
      <w:pPr>
        <w:pStyle w:val="Obsah2"/>
        <w:tabs>
          <w:tab w:val="right" w:leader="dot" w:pos="9062"/>
        </w:tabs>
        <w:spacing w:after="1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572966" w:history="1">
        <w:r w:rsidR="00293C4D" w:rsidRPr="00B16305">
          <w:rPr>
            <w:rStyle w:val="Hypertextovodkaz"/>
            <w:noProof/>
          </w:rPr>
          <w:t>Článek 2 Pravidla pro výběr dodavatelů</w:t>
        </w:r>
        <w:r w:rsidR="00293C4D">
          <w:rPr>
            <w:noProof/>
            <w:webHidden/>
          </w:rPr>
          <w:tab/>
        </w:r>
        <w:r w:rsidR="00293C4D">
          <w:rPr>
            <w:noProof/>
            <w:webHidden/>
          </w:rPr>
          <w:fldChar w:fldCharType="begin"/>
        </w:r>
        <w:r w:rsidR="00293C4D">
          <w:rPr>
            <w:noProof/>
            <w:webHidden/>
          </w:rPr>
          <w:instrText xml:space="preserve"> PAGEREF _Toc85572966 \h </w:instrText>
        </w:r>
        <w:r w:rsidR="00293C4D">
          <w:rPr>
            <w:noProof/>
            <w:webHidden/>
          </w:rPr>
        </w:r>
        <w:r w:rsidR="00293C4D">
          <w:rPr>
            <w:noProof/>
            <w:webHidden/>
          </w:rPr>
          <w:fldChar w:fldCharType="separate"/>
        </w:r>
        <w:r w:rsidR="00293C4D">
          <w:rPr>
            <w:noProof/>
            <w:webHidden/>
          </w:rPr>
          <w:t>3</w:t>
        </w:r>
        <w:r w:rsidR="00293C4D">
          <w:rPr>
            <w:noProof/>
            <w:webHidden/>
          </w:rPr>
          <w:fldChar w:fldCharType="end"/>
        </w:r>
      </w:hyperlink>
    </w:p>
    <w:p w14:paraId="0E8B6E76" w14:textId="629BB1FB" w:rsidR="00293C4D" w:rsidRDefault="00A960D1" w:rsidP="00293C4D">
      <w:pPr>
        <w:pStyle w:val="Obsah2"/>
        <w:tabs>
          <w:tab w:val="right" w:leader="dot" w:pos="9062"/>
        </w:tabs>
        <w:spacing w:after="1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572967" w:history="1">
        <w:r w:rsidR="00293C4D" w:rsidRPr="00B16305">
          <w:rPr>
            <w:rStyle w:val="Hypertextovodkaz"/>
            <w:noProof/>
          </w:rPr>
          <w:t>Článek 3 Identifikace bezpečnostních požadavků a kontrola jejich plnění</w:t>
        </w:r>
        <w:r w:rsidR="00293C4D">
          <w:rPr>
            <w:noProof/>
            <w:webHidden/>
          </w:rPr>
          <w:tab/>
        </w:r>
        <w:r w:rsidR="00293C4D">
          <w:rPr>
            <w:noProof/>
            <w:webHidden/>
          </w:rPr>
          <w:fldChar w:fldCharType="begin"/>
        </w:r>
        <w:r w:rsidR="00293C4D">
          <w:rPr>
            <w:noProof/>
            <w:webHidden/>
          </w:rPr>
          <w:instrText xml:space="preserve"> PAGEREF _Toc85572967 \h </w:instrText>
        </w:r>
        <w:r w:rsidR="00293C4D">
          <w:rPr>
            <w:noProof/>
            <w:webHidden/>
          </w:rPr>
        </w:r>
        <w:r w:rsidR="00293C4D">
          <w:rPr>
            <w:noProof/>
            <w:webHidden/>
          </w:rPr>
          <w:fldChar w:fldCharType="separate"/>
        </w:r>
        <w:r w:rsidR="00293C4D">
          <w:rPr>
            <w:noProof/>
            <w:webHidden/>
          </w:rPr>
          <w:t>4</w:t>
        </w:r>
        <w:r w:rsidR="00293C4D">
          <w:rPr>
            <w:noProof/>
            <w:webHidden/>
          </w:rPr>
          <w:fldChar w:fldCharType="end"/>
        </w:r>
      </w:hyperlink>
    </w:p>
    <w:p w14:paraId="16195A4B" w14:textId="27EEC5D5" w:rsidR="00293C4D" w:rsidRDefault="00A960D1" w:rsidP="00293C4D">
      <w:pPr>
        <w:pStyle w:val="Obsah2"/>
        <w:tabs>
          <w:tab w:val="right" w:leader="dot" w:pos="9062"/>
        </w:tabs>
        <w:spacing w:after="1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572968" w:history="1">
        <w:r w:rsidR="00293C4D" w:rsidRPr="00B16305">
          <w:rPr>
            <w:rStyle w:val="Hypertextovodkaz"/>
            <w:noProof/>
          </w:rPr>
          <w:t>Článek 4 Bezpečnostní požadavky stanovené ve smlouvách s dodavateli</w:t>
        </w:r>
        <w:r w:rsidR="00293C4D">
          <w:rPr>
            <w:noProof/>
            <w:webHidden/>
          </w:rPr>
          <w:tab/>
        </w:r>
        <w:r w:rsidR="00293C4D">
          <w:rPr>
            <w:noProof/>
            <w:webHidden/>
          </w:rPr>
          <w:fldChar w:fldCharType="begin"/>
        </w:r>
        <w:r w:rsidR="00293C4D">
          <w:rPr>
            <w:noProof/>
            <w:webHidden/>
          </w:rPr>
          <w:instrText xml:space="preserve"> PAGEREF _Toc85572968 \h </w:instrText>
        </w:r>
        <w:r w:rsidR="00293C4D">
          <w:rPr>
            <w:noProof/>
            <w:webHidden/>
          </w:rPr>
        </w:r>
        <w:r w:rsidR="00293C4D">
          <w:rPr>
            <w:noProof/>
            <w:webHidden/>
          </w:rPr>
          <w:fldChar w:fldCharType="separate"/>
        </w:r>
        <w:r w:rsidR="00293C4D">
          <w:rPr>
            <w:noProof/>
            <w:webHidden/>
          </w:rPr>
          <w:t>4</w:t>
        </w:r>
        <w:r w:rsidR="00293C4D">
          <w:rPr>
            <w:noProof/>
            <w:webHidden/>
          </w:rPr>
          <w:fldChar w:fldCharType="end"/>
        </w:r>
      </w:hyperlink>
    </w:p>
    <w:p w14:paraId="65A9B647" w14:textId="20D5C09A" w:rsidR="00293C4D" w:rsidRDefault="00A960D1" w:rsidP="00293C4D">
      <w:pPr>
        <w:pStyle w:val="Obsah2"/>
        <w:tabs>
          <w:tab w:val="right" w:leader="dot" w:pos="9062"/>
        </w:tabs>
        <w:spacing w:after="1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572969" w:history="1">
        <w:r w:rsidR="00293C4D" w:rsidRPr="00B16305">
          <w:rPr>
            <w:rStyle w:val="Hypertextovodkaz"/>
            <w:noProof/>
          </w:rPr>
          <w:t>Článek 5 Bezpečnostní požadavky na smlouvy „cloud computing“</w:t>
        </w:r>
        <w:r w:rsidR="00293C4D">
          <w:rPr>
            <w:noProof/>
            <w:webHidden/>
          </w:rPr>
          <w:tab/>
        </w:r>
        <w:r w:rsidR="00293C4D">
          <w:rPr>
            <w:noProof/>
            <w:webHidden/>
          </w:rPr>
          <w:fldChar w:fldCharType="begin"/>
        </w:r>
        <w:r w:rsidR="00293C4D">
          <w:rPr>
            <w:noProof/>
            <w:webHidden/>
          </w:rPr>
          <w:instrText xml:space="preserve"> PAGEREF _Toc85572969 \h </w:instrText>
        </w:r>
        <w:r w:rsidR="00293C4D">
          <w:rPr>
            <w:noProof/>
            <w:webHidden/>
          </w:rPr>
        </w:r>
        <w:r w:rsidR="00293C4D">
          <w:rPr>
            <w:noProof/>
            <w:webHidden/>
          </w:rPr>
          <w:fldChar w:fldCharType="separate"/>
        </w:r>
        <w:r w:rsidR="00293C4D">
          <w:rPr>
            <w:noProof/>
            <w:webHidden/>
          </w:rPr>
          <w:t>5</w:t>
        </w:r>
        <w:r w:rsidR="00293C4D">
          <w:rPr>
            <w:noProof/>
            <w:webHidden/>
          </w:rPr>
          <w:fldChar w:fldCharType="end"/>
        </w:r>
      </w:hyperlink>
    </w:p>
    <w:p w14:paraId="3AC2A320" w14:textId="1563566E" w:rsidR="00293C4D" w:rsidRDefault="00A960D1" w:rsidP="00293C4D">
      <w:pPr>
        <w:pStyle w:val="Obsah2"/>
        <w:tabs>
          <w:tab w:val="right" w:leader="dot" w:pos="9062"/>
        </w:tabs>
        <w:spacing w:after="1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572970" w:history="1">
        <w:r w:rsidR="00293C4D" w:rsidRPr="00B16305">
          <w:rPr>
            <w:rStyle w:val="Hypertextovodkaz"/>
            <w:noProof/>
          </w:rPr>
          <w:t>Článek 6 Bezpečnostní pravidla při realizaci a po ukončení dodávek</w:t>
        </w:r>
        <w:r w:rsidR="00293C4D">
          <w:rPr>
            <w:noProof/>
            <w:webHidden/>
          </w:rPr>
          <w:tab/>
        </w:r>
        <w:r w:rsidR="00293C4D">
          <w:rPr>
            <w:noProof/>
            <w:webHidden/>
          </w:rPr>
          <w:fldChar w:fldCharType="begin"/>
        </w:r>
        <w:r w:rsidR="00293C4D">
          <w:rPr>
            <w:noProof/>
            <w:webHidden/>
          </w:rPr>
          <w:instrText xml:space="preserve"> PAGEREF _Toc85572970 \h </w:instrText>
        </w:r>
        <w:r w:rsidR="00293C4D">
          <w:rPr>
            <w:noProof/>
            <w:webHidden/>
          </w:rPr>
        </w:r>
        <w:r w:rsidR="00293C4D">
          <w:rPr>
            <w:noProof/>
            <w:webHidden/>
          </w:rPr>
          <w:fldChar w:fldCharType="separate"/>
        </w:r>
        <w:r w:rsidR="00293C4D">
          <w:rPr>
            <w:noProof/>
            <w:webHidden/>
          </w:rPr>
          <w:t>6</w:t>
        </w:r>
        <w:r w:rsidR="00293C4D">
          <w:rPr>
            <w:noProof/>
            <w:webHidden/>
          </w:rPr>
          <w:fldChar w:fldCharType="end"/>
        </w:r>
      </w:hyperlink>
    </w:p>
    <w:p w14:paraId="68617BA9" w14:textId="57F8DA97" w:rsidR="00830B1A" w:rsidRDefault="00830B1A" w:rsidP="00293C4D">
      <w:pPr>
        <w:spacing w:after="120"/>
        <w:rPr>
          <w:b/>
          <w:sz w:val="40"/>
          <w:szCs w:val="40"/>
        </w:rPr>
      </w:pPr>
      <w:r>
        <w:rPr>
          <w:b/>
          <w:sz w:val="40"/>
          <w:szCs w:val="40"/>
        </w:rPr>
        <w:fldChar w:fldCharType="end"/>
      </w:r>
    </w:p>
    <w:p w14:paraId="7ED1FB7A" w14:textId="77777777" w:rsidR="00897E50" w:rsidRPr="00810586" w:rsidRDefault="00897E50" w:rsidP="008100CA">
      <w:pPr>
        <w:spacing w:after="120"/>
        <w:jc w:val="center"/>
        <w:rPr>
          <w:b/>
          <w:sz w:val="40"/>
          <w:szCs w:val="40"/>
        </w:rPr>
      </w:pPr>
      <w:r w:rsidRPr="00830B1A">
        <w:rPr>
          <w:sz w:val="40"/>
          <w:szCs w:val="40"/>
        </w:rPr>
        <w:br w:type="page"/>
      </w:r>
      <w:r w:rsidRPr="00810586">
        <w:rPr>
          <w:b/>
          <w:sz w:val="40"/>
          <w:szCs w:val="40"/>
        </w:rPr>
        <w:lastRenderedPageBreak/>
        <w:t>Středočeský kraj</w:t>
      </w:r>
    </w:p>
    <w:p w14:paraId="58A9658A" w14:textId="77777777" w:rsidR="00897E50" w:rsidRDefault="00897E50" w:rsidP="008100CA">
      <w:pPr>
        <w:spacing w:after="120"/>
        <w:jc w:val="center"/>
        <w:rPr>
          <w:b/>
          <w:sz w:val="28"/>
          <w:szCs w:val="28"/>
        </w:rPr>
      </w:pPr>
    </w:p>
    <w:p w14:paraId="420DF48E" w14:textId="0A84038C" w:rsidR="00897E50" w:rsidRPr="0024730B" w:rsidRDefault="00947D75" w:rsidP="008100CA">
      <w:pPr>
        <w:spacing w:after="1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Politika </w:t>
      </w:r>
      <w:r w:rsidR="0067738B">
        <w:rPr>
          <w:b/>
          <w:i/>
          <w:sz w:val="28"/>
          <w:szCs w:val="28"/>
        </w:rPr>
        <w:t>řízení dodavatelů</w:t>
      </w:r>
    </w:p>
    <w:p w14:paraId="2C6BD589" w14:textId="77777777" w:rsidR="00897E50" w:rsidRPr="0024730B" w:rsidRDefault="00897E50" w:rsidP="008100CA">
      <w:pPr>
        <w:spacing w:after="120"/>
        <w:jc w:val="center"/>
        <w:rPr>
          <w:b/>
          <w:u w:val="single"/>
        </w:rPr>
      </w:pPr>
    </w:p>
    <w:p w14:paraId="3FEBBC77" w14:textId="762D12FA" w:rsidR="00897E50" w:rsidRPr="00810586" w:rsidRDefault="00947D75" w:rsidP="008100CA">
      <w:pPr>
        <w:spacing w:after="120"/>
      </w:pPr>
      <w:r>
        <w:t xml:space="preserve">Tato směrnice definuje politiku </w:t>
      </w:r>
      <w:r w:rsidR="00CD2629">
        <w:t>řízení dodavatelů</w:t>
      </w:r>
      <w:r w:rsidR="00C229F8">
        <w:t xml:space="preserve"> Krajského úřadu Středočeského kraje (dále jen</w:t>
      </w:r>
      <w:r>
        <w:t xml:space="preserve"> </w:t>
      </w:r>
      <w:r w:rsidR="00D546D2">
        <w:t>KÚSK</w:t>
      </w:r>
      <w:r w:rsidR="00C229F8">
        <w:t>)</w:t>
      </w:r>
      <w:r w:rsidR="00C33424">
        <w:t>, která definuje práva a povinnosti v oblasti systému řízení bezpečnosti informací (dále jen ISMS)</w:t>
      </w:r>
      <w:r w:rsidR="00D546D2">
        <w:t>.</w:t>
      </w:r>
    </w:p>
    <w:p w14:paraId="00739A54" w14:textId="56D598EB" w:rsidR="00897E50" w:rsidRPr="00562956" w:rsidRDefault="00897E50" w:rsidP="008100CA">
      <w:pPr>
        <w:pStyle w:val="Nadpis1"/>
      </w:pPr>
      <w:bookmarkStart w:id="0" w:name="_Toc85572965"/>
      <w:r w:rsidRPr="00562956">
        <w:t xml:space="preserve">Článek </w:t>
      </w:r>
      <w:bookmarkStart w:id="1" w:name="Část"/>
      <w:bookmarkEnd w:id="1"/>
      <w:r w:rsidR="008D7350">
        <w:fldChar w:fldCharType="begin"/>
      </w:r>
      <w:r w:rsidR="008D7350">
        <w:instrText xml:space="preserve"> SEQ  Část \r 1 \* MERGEFORMAT </w:instrText>
      </w:r>
      <w:r w:rsidR="008D7350">
        <w:fldChar w:fldCharType="separate"/>
      </w:r>
      <w:r w:rsidR="00293C4D">
        <w:rPr>
          <w:noProof/>
        </w:rPr>
        <w:t>1</w:t>
      </w:r>
      <w:r w:rsidR="008D7350">
        <w:fldChar w:fldCharType="end"/>
      </w:r>
      <w:r w:rsidR="00562956" w:rsidRPr="00562956">
        <w:br/>
      </w:r>
      <w:r w:rsidR="00CD2629">
        <w:t>Významní dodavatelů</w:t>
      </w:r>
      <w:bookmarkEnd w:id="0"/>
    </w:p>
    <w:p w14:paraId="1D6134A8" w14:textId="77777777" w:rsidR="00CD2629" w:rsidRDefault="00CD2629" w:rsidP="008100CA">
      <w:pPr>
        <w:spacing w:after="120"/>
      </w:pPr>
      <w:r>
        <w:t xml:space="preserve">Významný dodavatel je </w:t>
      </w:r>
      <w:r w:rsidRPr="00CD2629">
        <w:t>provozovatel informačního nebo komunikačního systému a každý, kdo s povinnou osobou vstupuje do právního vztahu, který je významný z hlediska bezpečnosti informačního a komunikačního systému</w:t>
      </w:r>
      <w:r>
        <w:t>.</w:t>
      </w:r>
    </w:p>
    <w:p w14:paraId="7D7257AC" w14:textId="7A976741" w:rsidR="00CD2629" w:rsidRPr="00CD2629" w:rsidRDefault="00CD2629" w:rsidP="008100CA">
      <w:pPr>
        <w:spacing w:after="120"/>
      </w:pPr>
      <w:r w:rsidRPr="00CD2629">
        <w:t xml:space="preserve">Pokud </w:t>
      </w:r>
      <w:r>
        <w:t>KÚSK</w:t>
      </w:r>
      <w:r w:rsidRPr="00CD2629">
        <w:t xml:space="preserve"> stanoví některého z dodavatelů služeb jako „významného dodavatele“ určitých služeb, musí následně, nad rámec stanovených standardních a specifických bezpečnostních požadavků, provést následující kroky:</w:t>
      </w:r>
    </w:p>
    <w:p w14:paraId="269A5CD1" w14:textId="4024E4AE" w:rsidR="00CD2629" w:rsidRPr="00CD2629" w:rsidRDefault="00CD2629" w:rsidP="008100CA">
      <w:pPr>
        <w:pStyle w:val="2rovelnku"/>
        <w:ind w:left="426" w:hanging="284"/>
      </w:pPr>
      <w:r w:rsidRPr="00CD2629">
        <w:t>prokazatelně vyrozumí dodavatele o jeho postavení „významného dodavatele“ (buď přímo</w:t>
      </w:r>
      <w:r>
        <w:t xml:space="preserve"> </w:t>
      </w:r>
      <w:r w:rsidRPr="00CD2629">
        <w:t>ve smluvním ustanovení, nebo jinou písemnou prokazatelnou formou) s nezbytnými následujícími mandatorními náležitostmi:</w:t>
      </w:r>
    </w:p>
    <w:p w14:paraId="0AE7972B" w14:textId="77777777" w:rsidR="00CD2629" w:rsidRPr="00CD2629" w:rsidRDefault="00CD2629" w:rsidP="008100CA">
      <w:pPr>
        <w:pStyle w:val="2rovelnku"/>
        <w:numPr>
          <w:ilvl w:val="1"/>
          <w:numId w:val="28"/>
        </w:numPr>
        <w:tabs>
          <w:tab w:val="clear" w:pos="1440"/>
          <w:tab w:val="num" w:pos="993"/>
        </w:tabs>
        <w:ind w:left="993" w:hanging="426"/>
        <w:jc w:val="left"/>
      </w:pPr>
      <w:r w:rsidRPr="00CD2629">
        <w:t>identifikace správce nebo provozovatele,</w:t>
      </w:r>
    </w:p>
    <w:p w14:paraId="719F0CE8" w14:textId="77777777" w:rsidR="00CD2629" w:rsidRPr="00CD2629" w:rsidRDefault="00CD2629" w:rsidP="008100CA">
      <w:pPr>
        <w:pStyle w:val="2rovelnku"/>
        <w:numPr>
          <w:ilvl w:val="1"/>
          <w:numId w:val="28"/>
        </w:numPr>
        <w:tabs>
          <w:tab w:val="clear" w:pos="1440"/>
          <w:tab w:val="num" w:pos="993"/>
        </w:tabs>
        <w:ind w:left="993" w:hanging="426"/>
        <w:jc w:val="left"/>
      </w:pPr>
      <w:r w:rsidRPr="00CD2629">
        <w:t>identifikace informačního a komunikačního systému,</w:t>
      </w:r>
    </w:p>
    <w:p w14:paraId="7DBF1AA3" w14:textId="77777777" w:rsidR="00CD2629" w:rsidRPr="00CD2629" w:rsidRDefault="00CD2629" w:rsidP="008100CA">
      <w:pPr>
        <w:pStyle w:val="2rovelnku"/>
        <w:numPr>
          <w:ilvl w:val="1"/>
          <w:numId w:val="28"/>
        </w:numPr>
        <w:tabs>
          <w:tab w:val="clear" w:pos="1440"/>
          <w:tab w:val="num" w:pos="993"/>
        </w:tabs>
        <w:ind w:left="993" w:hanging="426"/>
        <w:jc w:val="left"/>
      </w:pPr>
      <w:r w:rsidRPr="00CD2629">
        <w:t>identifikace významného dodavatele,</w:t>
      </w:r>
    </w:p>
    <w:p w14:paraId="276DD0E2" w14:textId="15E269A1" w:rsidR="00CD2629" w:rsidRPr="00CD2629" w:rsidRDefault="00CD2629" w:rsidP="008100CA">
      <w:pPr>
        <w:pStyle w:val="2rovelnku"/>
        <w:numPr>
          <w:ilvl w:val="1"/>
          <w:numId w:val="28"/>
        </w:numPr>
        <w:tabs>
          <w:tab w:val="clear" w:pos="1440"/>
          <w:tab w:val="num" w:pos="993"/>
        </w:tabs>
        <w:ind w:left="993" w:hanging="426"/>
        <w:jc w:val="left"/>
      </w:pPr>
      <w:r w:rsidRPr="00CD2629">
        <w:t>vyrozumění o skutečnosti, že dodavatel je pro správce významným dodavatelem, a popřípadě také o tom, že významný dodavatel je zároveň provozovatelem,</w:t>
      </w:r>
    </w:p>
    <w:p w14:paraId="3AF336B5" w14:textId="77777777" w:rsidR="00CD2629" w:rsidRPr="00CD2629" w:rsidRDefault="00CD2629" w:rsidP="008100CA">
      <w:pPr>
        <w:pStyle w:val="2rovelnku"/>
        <w:numPr>
          <w:ilvl w:val="1"/>
          <w:numId w:val="28"/>
        </w:numPr>
        <w:tabs>
          <w:tab w:val="clear" w:pos="1440"/>
          <w:tab w:val="num" w:pos="993"/>
        </w:tabs>
        <w:ind w:left="993" w:hanging="426"/>
        <w:jc w:val="left"/>
      </w:pPr>
      <w:r w:rsidRPr="00CD2629">
        <w:t xml:space="preserve">vlastní obsah bezpečnostních požadavků,   </w:t>
      </w:r>
    </w:p>
    <w:p w14:paraId="1F8697F8" w14:textId="77777777" w:rsidR="00CD2629" w:rsidRPr="00CD2629" w:rsidRDefault="00CD2629" w:rsidP="008100CA">
      <w:pPr>
        <w:pStyle w:val="2rovelnku"/>
        <w:ind w:left="426" w:hanging="284"/>
        <w:jc w:val="left"/>
      </w:pPr>
      <w:r w:rsidRPr="00CD2629">
        <w:t xml:space="preserve">smluvně zajistí pokrytí relevantních požadavků bezpečnostních opatření podle přílohy č. 7 VKB, </w:t>
      </w:r>
    </w:p>
    <w:p w14:paraId="0980D33F" w14:textId="77777777" w:rsidR="00CD2629" w:rsidRPr="00CD2629" w:rsidRDefault="00CD2629" w:rsidP="008100CA">
      <w:pPr>
        <w:pStyle w:val="2rovelnku"/>
        <w:ind w:left="426" w:hanging="284"/>
        <w:jc w:val="left"/>
      </w:pPr>
      <w:r w:rsidRPr="00CD2629">
        <w:t>pravidelně 1x ročně provádí přezkum plnění smlouvy z hlediska řízení bezpečnosti informací,</w:t>
      </w:r>
    </w:p>
    <w:p w14:paraId="2E34DCAC" w14:textId="77777777" w:rsidR="00CD2629" w:rsidRPr="00CD2629" w:rsidRDefault="00CD2629" w:rsidP="008100CA">
      <w:pPr>
        <w:pStyle w:val="2rovelnku"/>
        <w:ind w:left="426" w:hanging="284"/>
        <w:jc w:val="left"/>
      </w:pPr>
      <w:r w:rsidRPr="00CD2629">
        <w:t>vede evidenci svých „významných dodavatelů“,</w:t>
      </w:r>
    </w:p>
    <w:p w14:paraId="3C333A8B" w14:textId="79E1E192" w:rsidR="00CD2629" w:rsidRDefault="00CD2629" w:rsidP="008100CA">
      <w:pPr>
        <w:pStyle w:val="2rovelnku"/>
        <w:ind w:left="426" w:hanging="284"/>
        <w:jc w:val="left"/>
      </w:pPr>
      <w:r w:rsidRPr="00CD2629">
        <w:t xml:space="preserve">následně ověří, zda vyrozuměný dodavatel </w:t>
      </w:r>
      <w:r>
        <w:t>–</w:t>
      </w:r>
      <w:r w:rsidRPr="00CD2629">
        <w:t xml:space="preserve"> provozovatel VIS, nahlásil své kontaktní údaje </w:t>
      </w:r>
      <w:r w:rsidR="00084219">
        <w:t>NÚKIB</w:t>
      </w:r>
      <w:r w:rsidRPr="00CD2629">
        <w:t>.</w:t>
      </w:r>
    </w:p>
    <w:p w14:paraId="6997A236" w14:textId="77777777" w:rsidR="008100CA" w:rsidRDefault="008100CA" w:rsidP="008100CA">
      <w:pPr>
        <w:pStyle w:val="2rovelnku"/>
        <w:numPr>
          <w:ilvl w:val="0"/>
          <w:numId w:val="0"/>
        </w:numPr>
        <w:ind w:left="142"/>
      </w:pPr>
    </w:p>
    <w:p w14:paraId="1E931389" w14:textId="0DB9DB1B" w:rsidR="000C4CB9" w:rsidRDefault="000C4CB9" w:rsidP="008100CA">
      <w:pPr>
        <w:pStyle w:val="Nadpis1"/>
      </w:pPr>
      <w:bookmarkStart w:id="2" w:name="_Toc85572966"/>
      <w:r w:rsidRPr="00562956">
        <w:t xml:space="preserve">Článek </w:t>
      </w:r>
      <w:fldSimple w:instr=" SEQ Část  \* MERGEFORMAT ">
        <w:r w:rsidR="00293C4D">
          <w:rPr>
            <w:noProof/>
          </w:rPr>
          <w:t>2</w:t>
        </w:r>
      </w:fldSimple>
      <w:r>
        <w:br/>
        <w:t>Pravidla pro výběr dodavatelů</w:t>
      </w:r>
      <w:bookmarkEnd w:id="2"/>
    </w:p>
    <w:p w14:paraId="1E2F1126" w14:textId="5310E19D" w:rsidR="000C4CB9" w:rsidRPr="000C4CB9" w:rsidRDefault="000C4CB9" w:rsidP="008100CA">
      <w:pPr>
        <w:spacing w:after="120"/>
      </w:pPr>
      <w:r w:rsidRPr="000C4CB9">
        <w:t>Výběr dodavatelů se řídí platným zákonem o zadávání veřejných zakázek a doprovodnými právními normami.  Při zadávání veřejných zakázek malého rozsahu je postupováno dle základních zásad zákona o zadávání veřejných zakázek, tj. transparentnost, rovné zacházení a</w:t>
      </w:r>
      <w:r w:rsidR="00406B91">
        <w:t> </w:t>
      </w:r>
      <w:r w:rsidRPr="000C4CB9">
        <w:t xml:space="preserve">zákaz diskriminace. V rámci </w:t>
      </w:r>
      <w:r w:rsidR="00406B91">
        <w:t>KÚSK</w:t>
      </w:r>
      <w:r w:rsidRPr="000C4CB9">
        <w:t xml:space="preserve"> jsou všechny postupy při zadávání veřejných zakázek upraveny </w:t>
      </w:r>
      <w:r w:rsidR="00084219">
        <w:t>interními akty řízení</w:t>
      </w:r>
      <w:r w:rsidRPr="00E6102B">
        <w:t>. Bezpečnostní požadavky na výrobky a/nebo služby dodavatele je nutno následně specifikovat v zadávací</w:t>
      </w:r>
      <w:r w:rsidRPr="000C4CB9">
        <w:t xml:space="preserve"> dokumentaci, a to zejména cestou stanovení </w:t>
      </w:r>
      <w:r w:rsidRPr="000C4CB9">
        <w:lastRenderedPageBreak/>
        <w:t>vhodných kvalifikačních podmínek a vlastních bezpečnostních požadavků na poptávané produkty/služby a jejich dodávku, implementaci a údržbu.</w:t>
      </w:r>
    </w:p>
    <w:p w14:paraId="0EB1A977" w14:textId="102885DD" w:rsidR="000C4CB9" w:rsidRPr="000C4CB9" w:rsidRDefault="000C4CB9" w:rsidP="008100CA">
      <w:pPr>
        <w:spacing w:after="120"/>
      </w:pPr>
      <w:r w:rsidRPr="000C4CB9">
        <w:t xml:space="preserve">S odkazem na ZKB, </w:t>
      </w:r>
      <w:proofErr w:type="spellStart"/>
      <w:r w:rsidRPr="000C4CB9">
        <w:t>ust</w:t>
      </w:r>
      <w:proofErr w:type="spellEnd"/>
      <w:r w:rsidRPr="000C4CB9">
        <w:t>. § 4 odst. 4, je prosazování bezpečnostních požadavků na dodavatele povinné a zohlednění těchto požadavků, vyplývajících z bezpečnostních opatření nelze považovat za nezákonné omezení hospodářské soutěže nebo neodůvodněnou překážku hospodářské soutěži.</w:t>
      </w:r>
    </w:p>
    <w:p w14:paraId="50BEF1D4" w14:textId="639412AB" w:rsidR="000C4CB9" w:rsidRPr="000C4CB9" w:rsidRDefault="000C4CB9" w:rsidP="008100CA">
      <w:pPr>
        <w:spacing w:after="120"/>
      </w:pPr>
      <w:r w:rsidRPr="000C4CB9">
        <w:t>Při výběrovém řízení musí být minimalizována případná rizika, která by mohla nastat při</w:t>
      </w:r>
      <w:r w:rsidR="008100CA">
        <w:t> </w:t>
      </w:r>
      <w:r w:rsidRPr="000C4CB9">
        <w:t>nevhodném výběru dodavatele, a to zejména při poptávkách s vyšší předpokládanou cenou zakázky a dlouhodobější spolupráci s dodavateli. Jedná se zejména o následující rizika:</w:t>
      </w:r>
    </w:p>
    <w:p w14:paraId="48502350" w14:textId="742F3272" w:rsidR="000C4CB9" w:rsidRPr="000C4CB9" w:rsidRDefault="000C4CB9" w:rsidP="008100CA">
      <w:pPr>
        <w:pStyle w:val="2rovelnku"/>
        <w:numPr>
          <w:ilvl w:val="0"/>
          <w:numId w:val="15"/>
        </w:numPr>
        <w:ind w:left="567" w:hanging="425"/>
        <w:jc w:val="left"/>
      </w:pPr>
      <w:r w:rsidRPr="000C4CB9">
        <w:t>riziko bezpečnostní nespolehlivosti (lze redukovat základními kvalifikačními předpoklady a dalšími požadavky stanovenými platným zněním zákona o zadávání veřejných zakázek),</w:t>
      </w:r>
    </w:p>
    <w:p w14:paraId="456790F9" w14:textId="51AF3AE5" w:rsidR="000C4CB9" w:rsidRPr="000C4CB9" w:rsidRDefault="000C4CB9" w:rsidP="008100CA">
      <w:pPr>
        <w:pStyle w:val="2rovelnku"/>
        <w:ind w:left="567" w:hanging="425"/>
        <w:jc w:val="left"/>
      </w:pPr>
      <w:r w:rsidRPr="000C4CB9">
        <w:t xml:space="preserve">riziko ekonomické a finanční nezpůsobilosti (lze redukovat čestným prohlášením dodavatele o jeho způsobilosti), </w:t>
      </w:r>
    </w:p>
    <w:p w14:paraId="3131834A" w14:textId="4A734A38" w:rsidR="000C4CB9" w:rsidRPr="000C4CB9" w:rsidRDefault="000C4CB9" w:rsidP="008100CA">
      <w:pPr>
        <w:pStyle w:val="2rovelnku"/>
        <w:ind w:left="567" w:hanging="425"/>
        <w:jc w:val="left"/>
      </w:pPr>
      <w:r w:rsidRPr="000C4CB9">
        <w:t>riziko nevhodné profesní kvalifikace (lze redukovat profesními kvalifikačními předpoklady na dodavatele, subdodavatele a jejich pracovníky v rámci zakázky),</w:t>
      </w:r>
    </w:p>
    <w:p w14:paraId="538677C3" w14:textId="43F316D1" w:rsidR="000C4CB9" w:rsidRPr="000C4CB9" w:rsidRDefault="000C4CB9" w:rsidP="008100CA">
      <w:pPr>
        <w:pStyle w:val="2rovelnku"/>
        <w:ind w:left="567" w:hanging="425"/>
        <w:jc w:val="left"/>
      </w:pPr>
      <w:r w:rsidRPr="000C4CB9">
        <w:t>riziko nevhodné technické kvalifikace (lze redukovat technickými kvalifikačními předpoklady na dodavatele, subdodavatele a jejich pracovníky v rámci zakázky).</w:t>
      </w:r>
    </w:p>
    <w:p w14:paraId="2E1ECFC2" w14:textId="68AD516C" w:rsidR="000C4CB9" w:rsidRDefault="000C4CB9" w:rsidP="008100CA">
      <w:pPr>
        <w:spacing w:after="120"/>
      </w:pPr>
      <w:r w:rsidRPr="00406B91">
        <w:t>Redukce výše uvedených základních rizik se provádí v souladu se zákonem o zadávání veřejných zakázek, ve znění pozdějších předpisů.</w:t>
      </w:r>
    </w:p>
    <w:p w14:paraId="18858E5A" w14:textId="77777777" w:rsidR="00D35B89" w:rsidRPr="000C4CB9" w:rsidRDefault="00D35B89" w:rsidP="008100CA">
      <w:pPr>
        <w:spacing w:after="120"/>
      </w:pPr>
    </w:p>
    <w:p w14:paraId="290BACE5" w14:textId="703876C4" w:rsidR="00562956" w:rsidRDefault="00C229F8" w:rsidP="008100CA">
      <w:pPr>
        <w:pStyle w:val="Nadpis1"/>
      </w:pPr>
      <w:bookmarkStart w:id="3" w:name="_Toc85572967"/>
      <w:r w:rsidRPr="00562956">
        <w:t xml:space="preserve">Článek </w:t>
      </w:r>
      <w:r w:rsidR="000C4CB9">
        <w:t>3</w:t>
      </w:r>
      <w:r>
        <w:br/>
      </w:r>
      <w:r w:rsidR="00230596">
        <w:t>Identifikace</w:t>
      </w:r>
      <w:r w:rsidR="00CD2629" w:rsidRPr="00B34B62">
        <w:t xml:space="preserve"> bezpečnostních </w:t>
      </w:r>
      <w:r w:rsidR="00230596">
        <w:t>požadavků</w:t>
      </w:r>
      <w:r w:rsidR="00CD2629" w:rsidRPr="00B34B62">
        <w:t xml:space="preserve"> a kontrola</w:t>
      </w:r>
      <w:r w:rsidR="00230596">
        <w:t xml:space="preserve"> jejich plnění</w:t>
      </w:r>
      <w:bookmarkEnd w:id="3"/>
    </w:p>
    <w:p w14:paraId="382FBD3D" w14:textId="7ED42D8B" w:rsidR="00230596" w:rsidRPr="00230596" w:rsidRDefault="00230596" w:rsidP="008100CA">
      <w:pPr>
        <w:spacing w:after="120"/>
      </w:pPr>
      <w:r>
        <w:t>Z</w:t>
      </w:r>
      <w:r w:rsidRPr="00230596">
        <w:t>ákladním krokem p</w:t>
      </w:r>
      <w:r>
        <w:t>řed zahájením</w:t>
      </w:r>
      <w:r w:rsidRPr="00230596">
        <w:t xml:space="preserve"> dodávek a služeb</w:t>
      </w:r>
      <w:r>
        <w:t xml:space="preserve"> poskytovaných dodavatelsky</w:t>
      </w:r>
      <w:r w:rsidRPr="00230596">
        <w:t xml:space="preserve"> je provedení analýzy všech</w:t>
      </w:r>
      <w:r>
        <w:t xml:space="preserve"> aspektů</w:t>
      </w:r>
      <w:r w:rsidRPr="00230596">
        <w:t xml:space="preserve"> a z nich plynoucích konkrétních požadavků, včetně bezpečnostních. Analýza se provádí v úvodní fázi projektové přípravy dodávek a služeb, nebo, v případě jednorázových nákupů a dodávek zboží, při specifikování požadovaných vlastností tohoto zboží a způsobu jeho dodání.</w:t>
      </w:r>
      <w:r w:rsidR="000C4CB9">
        <w:t xml:space="preserve"> Analýzu provádí zadavatel zakázky.</w:t>
      </w:r>
    </w:p>
    <w:p w14:paraId="11C5FF01" w14:textId="7D21E312" w:rsidR="00230596" w:rsidRDefault="00230596" w:rsidP="008100CA">
      <w:pPr>
        <w:spacing w:after="120"/>
      </w:pPr>
      <w:r w:rsidRPr="00230596">
        <w:t xml:space="preserve">Pro kontrolu a případné </w:t>
      </w:r>
      <w:r w:rsidRPr="00E6102B">
        <w:t>doplnění těchto bezpečnostních požadavků je povinností zadavatelů těchto typů zakázek (tj. zadavatelským útvarem – viz platná Směrnice o zadávání veřejných zakázek) poskytovat návrhy zadávací dokumentace a smluv OB</w:t>
      </w:r>
      <w:r w:rsidR="000C4CB9" w:rsidRPr="00E6102B">
        <w:t>Ř</w:t>
      </w:r>
      <w:r w:rsidRPr="00E6102B">
        <w:t>, a to v dostatečném časovém</w:t>
      </w:r>
      <w:r w:rsidR="000C4CB9" w:rsidRPr="00E6102B">
        <w:t xml:space="preserve"> předstihu (minimálně 5 pracovních</w:t>
      </w:r>
      <w:r w:rsidR="000C4CB9">
        <w:t xml:space="preserve"> dní před uzavřením zadávací dokumentace)</w:t>
      </w:r>
      <w:r w:rsidRPr="00230596">
        <w:t>, před finalizací zadávací dokumentace a vypsáním výběrového řízení.</w:t>
      </w:r>
    </w:p>
    <w:p w14:paraId="56B2E2CB" w14:textId="77777777" w:rsidR="00D35B89" w:rsidRPr="00230596" w:rsidRDefault="00D35B89" w:rsidP="008100CA">
      <w:pPr>
        <w:spacing w:after="120"/>
        <w:jc w:val="both"/>
      </w:pPr>
    </w:p>
    <w:p w14:paraId="21E04917" w14:textId="572FD199" w:rsidR="004C28CB" w:rsidRPr="00B34B62" w:rsidRDefault="00F068E0" w:rsidP="008100CA">
      <w:pPr>
        <w:pStyle w:val="Nadpis1"/>
      </w:pPr>
      <w:bookmarkStart w:id="4" w:name="_Toc85572968"/>
      <w:r w:rsidRPr="00562956">
        <w:t xml:space="preserve">Článek </w:t>
      </w:r>
      <w:r w:rsidR="004C28CB">
        <w:t>4</w:t>
      </w:r>
      <w:r>
        <w:br/>
      </w:r>
      <w:r w:rsidR="004C28CB" w:rsidRPr="00B34B62">
        <w:t>Bezpečnostní po</w:t>
      </w:r>
      <w:r w:rsidR="004C28CB">
        <w:t>žadavky</w:t>
      </w:r>
      <w:r w:rsidR="004C28CB" w:rsidRPr="00B34B62">
        <w:t xml:space="preserve"> stanovené ve smlouvách s dodavateli</w:t>
      </w:r>
      <w:bookmarkEnd w:id="4"/>
    </w:p>
    <w:p w14:paraId="3460CB47" w14:textId="5E4116DD" w:rsidR="004C28CB" w:rsidRPr="004C28CB" w:rsidRDefault="004C28CB" w:rsidP="008100CA">
      <w:pPr>
        <w:spacing w:after="120"/>
      </w:pPr>
      <w:r w:rsidRPr="004C28CB">
        <w:t>V souvislosti s výše uvedenými pravidly a požadavky na minimalizaci rizik musí být tyto bezpečnostní požadavky promítnuty do konečné smlouvy s dodavateli. Další bezpečnostní požadavky, které je nezbytné smluvně zakotvit, jsou specifické požadavky (podle druhu poptávané technologie a/nebo služeb) na:</w:t>
      </w:r>
    </w:p>
    <w:p w14:paraId="0063270F" w14:textId="77777777" w:rsidR="004C28CB" w:rsidRPr="004C28CB" w:rsidRDefault="004C28CB" w:rsidP="008100CA">
      <w:pPr>
        <w:pStyle w:val="2rovelnku"/>
        <w:numPr>
          <w:ilvl w:val="0"/>
          <w:numId w:val="18"/>
        </w:numPr>
        <w:ind w:left="567" w:hanging="425"/>
        <w:jc w:val="left"/>
      </w:pPr>
      <w:r w:rsidRPr="004C28CB">
        <w:t xml:space="preserve">vlastní technologické bezpečnostní požadavky, </w:t>
      </w:r>
    </w:p>
    <w:p w14:paraId="76DE09C4" w14:textId="3FB7B97C" w:rsidR="004C28CB" w:rsidRPr="004C28CB" w:rsidRDefault="004C28CB" w:rsidP="008100CA">
      <w:pPr>
        <w:pStyle w:val="2rovelnku"/>
        <w:numPr>
          <w:ilvl w:val="0"/>
          <w:numId w:val="15"/>
        </w:numPr>
        <w:ind w:left="567" w:hanging="425"/>
        <w:jc w:val="left"/>
      </w:pPr>
      <w:r w:rsidRPr="004C28CB">
        <w:t xml:space="preserve">bezpečnostní požadavky na dodávku a implementaci (včetně bezpečné migrace dat, pokud je součástí implementace) a nezbytnou součinnost </w:t>
      </w:r>
      <w:r>
        <w:t>KÚSK</w:t>
      </w:r>
      <w:r w:rsidRPr="004C28CB">
        <w:t xml:space="preserve"> jako zadavatele, </w:t>
      </w:r>
    </w:p>
    <w:p w14:paraId="3F29A18F" w14:textId="4CE39F88" w:rsidR="004C28CB" w:rsidRPr="004C28CB" w:rsidRDefault="004C28CB" w:rsidP="008100CA">
      <w:pPr>
        <w:pStyle w:val="2rovelnku"/>
        <w:numPr>
          <w:ilvl w:val="0"/>
          <w:numId w:val="15"/>
        </w:numPr>
        <w:ind w:left="567" w:hanging="425"/>
        <w:jc w:val="left"/>
      </w:pPr>
      <w:r w:rsidRPr="004C28CB">
        <w:lastRenderedPageBreak/>
        <w:t xml:space="preserve">bezpečnost provozu v podmínkách </w:t>
      </w:r>
      <w:r>
        <w:t>KÚSK</w:t>
      </w:r>
      <w:r w:rsidRPr="004C28CB">
        <w:t>,</w:t>
      </w:r>
    </w:p>
    <w:p w14:paraId="3B27CED4" w14:textId="6BAC846A" w:rsidR="004C28CB" w:rsidRPr="004C28CB" w:rsidRDefault="004C28CB" w:rsidP="008100CA">
      <w:pPr>
        <w:pStyle w:val="2rovelnku"/>
        <w:numPr>
          <w:ilvl w:val="0"/>
          <w:numId w:val="15"/>
        </w:numPr>
        <w:ind w:left="567" w:hanging="425"/>
        <w:jc w:val="left"/>
      </w:pPr>
      <w:r w:rsidRPr="004C28CB">
        <w:t>nezbytnou provozní (systémovou, uživatelskou a bezpečnostní</w:t>
      </w:r>
      <w:r w:rsidR="00084219">
        <w:t>)</w:t>
      </w:r>
      <w:r w:rsidRPr="004C28CB">
        <w:t xml:space="preserve"> dokumentaci k dodávce,</w:t>
      </w:r>
    </w:p>
    <w:p w14:paraId="013679BB" w14:textId="77777777" w:rsidR="004C28CB" w:rsidRPr="004C28CB" w:rsidRDefault="004C28CB" w:rsidP="008100CA">
      <w:pPr>
        <w:pStyle w:val="2rovelnku"/>
        <w:numPr>
          <w:ilvl w:val="0"/>
          <w:numId w:val="15"/>
        </w:numPr>
        <w:ind w:left="567" w:hanging="425"/>
        <w:jc w:val="left"/>
      </w:pPr>
      <w:r w:rsidRPr="004C28CB">
        <w:t>specifikace případné výměny dat a způsobu jejího bezpečného provádění,</w:t>
      </w:r>
    </w:p>
    <w:p w14:paraId="21E89ED4" w14:textId="5E3064A2" w:rsidR="004C28CB" w:rsidRPr="004C28CB" w:rsidRDefault="004C28CB" w:rsidP="008100CA">
      <w:pPr>
        <w:pStyle w:val="2rovelnku"/>
        <w:numPr>
          <w:ilvl w:val="0"/>
          <w:numId w:val="15"/>
        </w:numPr>
        <w:ind w:left="567" w:hanging="425"/>
        <w:jc w:val="left"/>
      </w:pPr>
      <w:r w:rsidRPr="004C28CB">
        <w:t xml:space="preserve">vhodné školení zaměstnanců </w:t>
      </w:r>
      <w:r>
        <w:t>KÚSK</w:t>
      </w:r>
      <w:r w:rsidRPr="004C28CB">
        <w:t xml:space="preserve"> k obsluze a využití technologie (pokud bylo součástí dodávky). </w:t>
      </w:r>
    </w:p>
    <w:p w14:paraId="51D27640" w14:textId="559F3A85" w:rsidR="00B444B3" w:rsidRDefault="004C28CB" w:rsidP="008100CA">
      <w:pPr>
        <w:spacing w:after="120"/>
      </w:pPr>
      <w:r w:rsidRPr="00B444B3">
        <w:t xml:space="preserve">Součástí smluv musí být též sankční ujednání za nedodržení smluvních podmínek dodávek, včetně bezpečnostních, a dále ustanovení o ochraně veškerých informačních aktiv </w:t>
      </w:r>
      <w:r w:rsidR="00B444B3">
        <w:t>KÚSK</w:t>
      </w:r>
      <w:r w:rsidRPr="00B444B3">
        <w:t xml:space="preserve">, jenž byla dodavateli poskytnuta, které bude zakomponováno jako samostatné ustanovení smlouvy, nebo jako nedílná příloha smlouvy. Jedná se zejména o zachování důvěrnosti a mlčenlivosti ve vztahu k poskytnutým interním informacím </w:t>
      </w:r>
      <w:r w:rsidR="00B444B3">
        <w:t>KÚSK</w:t>
      </w:r>
      <w:r w:rsidRPr="00B444B3">
        <w:t xml:space="preserve">, jejichž zveřejnění nebo poskytnutí jiným osobám by bylo v rozporu s účelem jejich poskytnutí, a mohlo by způsobit </w:t>
      </w:r>
      <w:r w:rsidR="00B444B3">
        <w:t>KÚSK</w:t>
      </w:r>
      <w:r w:rsidRPr="00B444B3">
        <w:t xml:space="preserve"> nebo třetím stranám škodu.</w:t>
      </w:r>
    </w:p>
    <w:p w14:paraId="04A127EC" w14:textId="77777777" w:rsidR="00D35B89" w:rsidRDefault="00D35B89" w:rsidP="008100CA">
      <w:pPr>
        <w:spacing w:after="120"/>
        <w:jc w:val="both"/>
      </w:pPr>
    </w:p>
    <w:p w14:paraId="31BE1F1F" w14:textId="424424DD" w:rsidR="00691EB5" w:rsidRPr="00C229F8" w:rsidRDefault="00691EB5" w:rsidP="008100CA">
      <w:pPr>
        <w:pStyle w:val="Nadpis1"/>
      </w:pPr>
      <w:bookmarkStart w:id="5" w:name="_Toc85572969"/>
      <w:r w:rsidRPr="00562956">
        <w:t xml:space="preserve">Článek </w:t>
      </w:r>
      <w:r w:rsidR="003E286B">
        <w:t>5</w:t>
      </w:r>
      <w:r>
        <w:br/>
      </w:r>
      <w:r w:rsidR="003E286B" w:rsidRPr="00B34B62">
        <w:t xml:space="preserve">Bezpečnostní požadavky na smlouvy „cloud </w:t>
      </w:r>
      <w:proofErr w:type="spellStart"/>
      <w:r w:rsidR="003E286B" w:rsidRPr="00B34B62">
        <w:t>computing</w:t>
      </w:r>
      <w:proofErr w:type="spellEnd"/>
      <w:r w:rsidR="003E286B" w:rsidRPr="00B34B62">
        <w:t>“</w:t>
      </w:r>
      <w:bookmarkEnd w:id="5"/>
    </w:p>
    <w:p w14:paraId="0A978E78" w14:textId="4550DED2" w:rsidR="003E286B" w:rsidRPr="003E286B" w:rsidRDefault="003E286B" w:rsidP="008100CA">
      <w:pPr>
        <w:spacing w:after="120"/>
      </w:pPr>
      <w:r w:rsidRPr="003E286B">
        <w:t xml:space="preserve">Při použití služeb typu „cloud </w:t>
      </w:r>
      <w:proofErr w:type="spellStart"/>
      <w:r w:rsidRPr="003E286B">
        <w:t>computing</w:t>
      </w:r>
      <w:proofErr w:type="spellEnd"/>
      <w:r w:rsidRPr="003E286B">
        <w:t xml:space="preserve">“, k zajištění bezpečnosti poskytovaných informačních služeb a dat </w:t>
      </w:r>
      <w:r w:rsidR="00FD05ED">
        <w:t>KÚSK</w:t>
      </w:r>
      <w:r w:rsidRPr="003E286B">
        <w:t xml:space="preserve"> a ve shodě se ZKB, § 4, odst. 5, musí být smluvně zajištěno, že budou dodržována bezpečnostní pravidla pro poskytování služeb cloud </w:t>
      </w:r>
      <w:proofErr w:type="spellStart"/>
      <w:r w:rsidRPr="003E286B">
        <w:t>computingu</w:t>
      </w:r>
      <w:proofErr w:type="spellEnd"/>
      <w:r w:rsidRPr="003E286B">
        <w:t xml:space="preserve"> stanovená NÚKIB, a že </w:t>
      </w:r>
      <w:r w:rsidR="00FD05ED">
        <w:t>KÚSK</w:t>
      </w:r>
      <w:r w:rsidRPr="003E286B">
        <w:t xml:space="preserve"> bude mít na základě své žádosti bez zbytečného odkladu k</w:t>
      </w:r>
      <w:r w:rsidR="008100CA">
        <w:t> </w:t>
      </w:r>
      <w:r w:rsidRPr="003E286B">
        <w:t xml:space="preserve">dispozici informace a data, která pro něj poskytovatel služeb cloud </w:t>
      </w:r>
      <w:proofErr w:type="spellStart"/>
      <w:r w:rsidRPr="003E286B">
        <w:t>computingu</w:t>
      </w:r>
      <w:proofErr w:type="spellEnd"/>
      <w:r w:rsidRPr="003E286B">
        <w:t xml:space="preserve"> uchovává, včetně možnosti kontroly uchovávaných informací a dat v reálném čase. Dalšími nezbytnými náležitostmi smlouvy jsou: </w:t>
      </w:r>
    </w:p>
    <w:p w14:paraId="73414478" w14:textId="5ED2AE05" w:rsidR="003E286B" w:rsidRPr="00FD05ED" w:rsidRDefault="003E286B" w:rsidP="008100CA">
      <w:pPr>
        <w:pStyle w:val="2rovelnku"/>
        <w:numPr>
          <w:ilvl w:val="0"/>
          <w:numId w:val="20"/>
        </w:numPr>
        <w:ind w:left="567" w:hanging="425"/>
      </w:pPr>
      <w:r w:rsidRPr="00FD05ED">
        <w:t>zakotvení povinnosti poskytovatele služeb respektovat bezpečnostní politiku odběratele služeb,</w:t>
      </w:r>
    </w:p>
    <w:p w14:paraId="29EC963F" w14:textId="5AC5C32E" w:rsidR="003E286B" w:rsidRPr="00FD05ED" w:rsidRDefault="00FD05ED" w:rsidP="008100CA">
      <w:pPr>
        <w:pStyle w:val="2rovelnku"/>
        <w:numPr>
          <w:ilvl w:val="0"/>
          <w:numId w:val="18"/>
        </w:numPr>
        <w:ind w:left="567" w:hanging="425"/>
      </w:pPr>
      <w:r>
        <w:t>s</w:t>
      </w:r>
      <w:r w:rsidR="003E286B" w:rsidRPr="00FD05ED">
        <w:t xml:space="preserve">tanovení úrovně poskytovaných služeb, </w:t>
      </w:r>
    </w:p>
    <w:p w14:paraId="744CC307" w14:textId="3268E1DF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systém schvalování subdodavatelů služby cloud </w:t>
      </w:r>
      <w:proofErr w:type="spellStart"/>
      <w:r w:rsidRPr="00FD05ED">
        <w:t>computingu</w:t>
      </w:r>
      <w:proofErr w:type="spellEnd"/>
      <w:r w:rsidRPr="00FD05ED">
        <w:t xml:space="preserve">, </w:t>
      </w:r>
    </w:p>
    <w:p w14:paraId="3FE2E312" w14:textId="6E8AD322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podmínky ukončení smluvního vztahu z pohledu bezpečnosti,</w:t>
      </w:r>
    </w:p>
    <w:p w14:paraId="7E2E095E" w14:textId="361C4574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řízení kontinuity činností v souvislosti s poskytovanou službou cloud </w:t>
      </w:r>
      <w:proofErr w:type="spellStart"/>
      <w:r w:rsidRPr="00FD05ED">
        <w:t>computingu</w:t>
      </w:r>
      <w:proofErr w:type="spellEnd"/>
      <w:r w:rsidRPr="00FD05ED">
        <w:t xml:space="preserve">, </w:t>
      </w:r>
    </w:p>
    <w:p w14:paraId="472A6790" w14:textId="1C48FA7F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určení vlastníka uchovávaných dat, </w:t>
      </w:r>
    </w:p>
    <w:p w14:paraId="40D3E870" w14:textId="30EA845B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dohoda o důvěrnosti smluvního vztahu, </w:t>
      </w:r>
    </w:p>
    <w:p w14:paraId="1C88E476" w14:textId="49C7A96B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stanovení úrovně ochrany dat z pohledu důvěrnosti, dostupnosti a integrity, </w:t>
      </w:r>
    </w:p>
    <w:p w14:paraId="4AB13931" w14:textId="1BA1C592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pravidla zákaznického auditu, </w:t>
      </w:r>
    </w:p>
    <w:p w14:paraId="0BEBDABB" w14:textId="527FE078" w:rsidR="003E286B" w:rsidRPr="00FD05ED" w:rsidRDefault="003E286B" w:rsidP="008100CA">
      <w:pPr>
        <w:pStyle w:val="2rovelnku"/>
        <w:numPr>
          <w:ilvl w:val="0"/>
          <w:numId w:val="18"/>
        </w:numPr>
        <w:ind w:left="567" w:hanging="425"/>
      </w:pPr>
      <w:r w:rsidRPr="00FD05ED">
        <w:t xml:space="preserve"> stanovení povinnosti poskytovatele služeb informovat odběratele o kybernetických bezpečnostních incidentech souvisejících s plněním smlouvy.  </w:t>
      </w:r>
    </w:p>
    <w:p w14:paraId="7232E7CF" w14:textId="7CB17A6B" w:rsidR="003E286B" w:rsidRDefault="00FD05ED" w:rsidP="008100CA">
      <w:pPr>
        <w:spacing w:after="120"/>
        <w:jc w:val="both"/>
      </w:pPr>
      <w:r w:rsidRPr="00FD05ED">
        <w:t>N</w:t>
      </w:r>
      <w:r w:rsidR="003E286B" w:rsidRPr="00FD05ED">
        <w:t xml:space="preserve">ěkteré výše uvedené vybrané náležitosti smlouvy lze vhodným způsobem uplatnit i u dalších nakupovaných ICT služeb. </w:t>
      </w:r>
    </w:p>
    <w:p w14:paraId="3AD1273B" w14:textId="2E175840" w:rsidR="00D35B89" w:rsidRDefault="00D35B89" w:rsidP="008100CA">
      <w:pPr>
        <w:spacing w:after="120"/>
        <w:jc w:val="both"/>
      </w:pPr>
    </w:p>
    <w:p w14:paraId="50A166FE" w14:textId="5AF8ECA6" w:rsidR="00293C4D" w:rsidRDefault="00293C4D" w:rsidP="008100CA">
      <w:pPr>
        <w:spacing w:after="120"/>
        <w:jc w:val="both"/>
      </w:pPr>
    </w:p>
    <w:p w14:paraId="1A9B75FF" w14:textId="6569D1EA" w:rsidR="00293C4D" w:rsidRDefault="00293C4D" w:rsidP="008100CA">
      <w:pPr>
        <w:spacing w:after="120"/>
        <w:jc w:val="both"/>
      </w:pPr>
    </w:p>
    <w:p w14:paraId="27A6F72C" w14:textId="77777777" w:rsidR="00293C4D" w:rsidRPr="00FD05ED" w:rsidRDefault="00293C4D" w:rsidP="008100CA">
      <w:pPr>
        <w:spacing w:after="120"/>
        <w:jc w:val="both"/>
      </w:pPr>
    </w:p>
    <w:p w14:paraId="4EA0A094" w14:textId="1FFDD50D" w:rsidR="004C5F27" w:rsidRPr="00C229F8" w:rsidRDefault="004C5F27" w:rsidP="008100CA">
      <w:pPr>
        <w:pStyle w:val="Nadpis1"/>
      </w:pPr>
      <w:bookmarkStart w:id="6" w:name="_Toc85572970"/>
      <w:r w:rsidRPr="00562956">
        <w:lastRenderedPageBreak/>
        <w:t xml:space="preserve">Článek </w:t>
      </w:r>
      <w:r>
        <w:t>6</w:t>
      </w:r>
      <w:r>
        <w:br/>
      </w:r>
      <w:r w:rsidRPr="00B34B62">
        <w:t>Bezpečnostní pravidla při realizaci a po ukončení dodávek</w:t>
      </w:r>
      <w:bookmarkEnd w:id="6"/>
    </w:p>
    <w:p w14:paraId="225879D4" w14:textId="77777777" w:rsidR="004C5F27" w:rsidRPr="004C5F27" w:rsidRDefault="004C5F27" w:rsidP="008100CA">
      <w:pPr>
        <w:spacing w:after="120"/>
      </w:pPr>
      <w:r w:rsidRPr="004C5F27">
        <w:t>Při vlastní realizaci dodávky informačních aktiv musí být uplatněna následující obecná bezpečnostní pravidla:</w:t>
      </w:r>
    </w:p>
    <w:p w14:paraId="54FF58E2" w14:textId="2BEA7342" w:rsidR="004C5F27" w:rsidRDefault="004C5F27" w:rsidP="008100CA">
      <w:pPr>
        <w:pStyle w:val="2rovelnku"/>
        <w:numPr>
          <w:ilvl w:val="0"/>
          <w:numId w:val="23"/>
        </w:numPr>
        <w:ind w:left="567" w:hanging="425"/>
        <w:jc w:val="left"/>
      </w:pPr>
      <w:r w:rsidRPr="004C5F27">
        <w:t xml:space="preserve">Prokazatelné seznámení dodavatelů s relevantními požadavky </w:t>
      </w:r>
      <w:r>
        <w:t>ISMS</w:t>
      </w:r>
    </w:p>
    <w:p w14:paraId="23F48BAC" w14:textId="5F1278AE" w:rsidR="004C5F27" w:rsidRPr="004C5F27" w:rsidRDefault="004C5F27" w:rsidP="008100CA">
      <w:pPr>
        <w:pStyle w:val="2rovelnku"/>
        <w:numPr>
          <w:ilvl w:val="0"/>
          <w:numId w:val="0"/>
        </w:numPr>
        <w:ind w:left="567"/>
        <w:jc w:val="left"/>
      </w:pPr>
      <w:r w:rsidRPr="004C5F27">
        <w:t xml:space="preserve">Pokud nejsou některé relevantní požadavky </w:t>
      </w:r>
      <w:r>
        <w:t>ISMS</w:t>
      </w:r>
      <w:r w:rsidRPr="004C5F27">
        <w:t xml:space="preserve"> přímou součásti smluvních ujednání, je před vlastní dodávkou nezbytné zajistit seznámení dodavatelů s těmito požadavky a</w:t>
      </w:r>
      <w:r>
        <w:t> </w:t>
      </w:r>
      <w:r w:rsidRPr="004C5F27">
        <w:t xml:space="preserve">zajistit zadokumentování tohoto seznámení (např. formou zápisu z úvodní projektové schůzky při startu daného projektu). Za to odpovídá vedoucí daného projektu/dodávky ze strany </w:t>
      </w:r>
      <w:r>
        <w:t>KÚSK, který může požádat o součinnost OBŘ</w:t>
      </w:r>
      <w:r w:rsidRPr="004C5F27">
        <w:t>.</w:t>
      </w:r>
    </w:p>
    <w:p w14:paraId="779F0625" w14:textId="77777777" w:rsidR="004C5F27" w:rsidRPr="004C5F27" w:rsidRDefault="004C5F27" w:rsidP="008100CA">
      <w:pPr>
        <w:pStyle w:val="2rovelnku"/>
        <w:numPr>
          <w:ilvl w:val="0"/>
          <w:numId w:val="23"/>
        </w:numPr>
        <w:ind w:left="567" w:hanging="425"/>
        <w:jc w:val="left"/>
      </w:pPr>
      <w:r w:rsidRPr="004C5F27">
        <w:t>Kontrola dodavatelských činností</w:t>
      </w:r>
    </w:p>
    <w:p w14:paraId="2ABBB048" w14:textId="3CF1A04E" w:rsidR="004C5F27" w:rsidRPr="004C5F27" w:rsidRDefault="004C5F27" w:rsidP="008100CA">
      <w:pPr>
        <w:pStyle w:val="2rovelnku"/>
        <w:numPr>
          <w:ilvl w:val="0"/>
          <w:numId w:val="0"/>
        </w:numPr>
        <w:ind w:left="567"/>
        <w:jc w:val="left"/>
      </w:pPr>
      <w:r w:rsidRPr="004C5F27">
        <w:t xml:space="preserve">Kontrolu dodavatelských činností z pohledu </w:t>
      </w:r>
      <w:r>
        <w:t>ISMS</w:t>
      </w:r>
      <w:r w:rsidRPr="004C5F27">
        <w:t xml:space="preserve"> zajišťuje M</w:t>
      </w:r>
      <w:r>
        <w:t>anažer ISMS</w:t>
      </w:r>
      <w:r w:rsidRPr="004C5F27">
        <w:t xml:space="preserve"> v rámci standardních kontrol dodavatelských činností. K těmto kontrolám je s dostatečným předstihem přizván příslušným vedoucím daného projektu/dodávky za </w:t>
      </w:r>
      <w:r>
        <w:t>KÚSK</w:t>
      </w:r>
      <w:r w:rsidRPr="004C5F27">
        <w:t>.</w:t>
      </w:r>
    </w:p>
    <w:p w14:paraId="7D6670ED" w14:textId="77777777" w:rsidR="004C5F27" w:rsidRPr="004C5F27" w:rsidRDefault="004C5F27" w:rsidP="008100CA">
      <w:pPr>
        <w:pStyle w:val="2rovelnku"/>
        <w:numPr>
          <w:ilvl w:val="0"/>
          <w:numId w:val="23"/>
        </w:numPr>
        <w:ind w:left="567" w:hanging="425"/>
        <w:jc w:val="left"/>
      </w:pPr>
      <w:r w:rsidRPr="004C5F27">
        <w:t>Hodnocení činnosti dodavatelů</w:t>
      </w:r>
    </w:p>
    <w:p w14:paraId="68AFE501" w14:textId="42EB3C9A" w:rsidR="006751BA" w:rsidRPr="00810586" w:rsidRDefault="004C5F27" w:rsidP="008100CA">
      <w:pPr>
        <w:pStyle w:val="2rovelnku"/>
        <w:numPr>
          <w:ilvl w:val="0"/>
          <w:numId w:val="0"/>
        </w:numPr>
        <w:ind w:left="567"/>
        <w:jc w:val="left"/>
      </w:pPr>
      <w:r w:rsidRPr="004C5F27">
        <w:t>Po ukončení činnosti dodavatelů (ukončení projektu), nebo při pravidelných vyhodnocení činnosti dodavatelů u dlouhodobých služeb, provádí M</w:t>
      </w:r>
      <w:r w:rsidR="00AC40D6">
        <w:t>anažer ISMS</w:t>
      </w:r>
      <w:r w:rsidRPr="004C5F27">
        <w:t xml:space="preserve"> na</w:t>
      </w:r>
      <w:r w:rsidR="008100CA">
        <w:t> </w:t>
      </w:r>
      <w:r w:rsidRPr="004C5F27">
        <w:t>výzvu vedoucího daného projektu/dodávky vyhodnocení, zda byly v daném období dodržovány bezpečnostní požadavky na zajištění dodávky informačních aktiv.</w:t>
      </w:r>
    </w:p>
    <w:sectPr w:rsidR="006751BA" w:rsidRPr="00810586" w:rsidSect="003524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339BF" w14:textId="77777777" w:rsidR="00A960D1" w:rsidRDefault="00A960D1">
      <w:r>
        <w:separator/>
      </w:r>
    </w:p>
  </w:endnote>
  <w:endnote w:type="continuationSeparator" w:id="0">
    <w:p w14:paraId="5A48E7DF" w14:textId="77777777" w:rsidR="00A960D1" w:rsidRDefault="00A9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35382" w14:textId="6F8F6DC7" w:rsidR="003E286B" w:rsidRPr="00403166" w:rsidRDefault="00403166" w:rsidP="00403166">
    <w:pPr>
      <w:pStyle w:val="Zpat"/>
      <w:jc w:val="center"/>
      <w:rPr>
        <w:i/>
        <w:iCs/>
      </w:rPr>
    </w:pPr>
    <w:r w:rsidRPr="00935E49">
      <w:rPr>
        <w:rStyle w:val="slostrnky"/>
        <w:i/>
        <w:iCs/>
      </w:rPr>
      <w:fldChar w:fldCharType="begin"/>
    </w:r>
    <w:r w:rsidRPr="00935E49">
      <w:rPr>
        <w:rStyle w:val="slostrnky"/>
        <w:iCs/>
      </w:rPr>
      <w:instrText xml:space="preserve"> PAGE </w:instrText>
    </w:r>
    <w:r w:rsidRPr="00935E49">
      <w:rPr>
        <w:rStyle w:val="slostrnky"/>
        <w:i/>
        <w:iCs/>
      </w:rPr>
      <w:fldChar w:fldCharType="separate"/>
    </w:r>
    <w:r>
      <w:rPr>
        <w:rStyle w:val="slostrnky"/>
        <w:i/>
        <w:iCs/>
      </w:rPr>
      <w:t>2</w:t>
    </w:r>
    <w:r w:rsidRPr="00935E49">
      <w:rPr>
        <w:rStyle w:val="slostrnky"/>
        <w:i/>
        <w:iCs/>
      </w:rPr>
      <w:fldChar w:fldCharType="end"/>
    </w:r>
    <w:r w:rsidRPr="00935E49">
      <w:rPr>
        <w:rStyle w:val="slostrnky"/>
        <w:iCs/>
      </w:rPr>
      <w:t>/</w:t>
    </w:r>
    <w:r w:rsidRPr="00935E49">
      <w:rPr>
        <w:rStyle w:val="slostrnky"/>
        <w:i/>
        <w:iCs/>
      </w:rPr>
      <w:fldChar w:fldCharType="begin"/>
    </w:r>
    <w:r w:rsidRPr="00935E49">
      <w:rPr>
        <w:rStyle w:val="slostrnky"/>
        <w:iCs/>
      </w:rPr>
      <w:instrText xml:space="preserve"> NUMPAGES </w:instrText>
    </w:r>
    <w:r w:rsidRPr="00935E49">
      <w:rPr>
        <w:rStyle w:val="slostrnky"/>
        <w:i/>
        <w:iCs/>
      </w:rPr>
      <w:fldChar w:fldCharType="separate"/>
    </w:r>
    <w:r>
      <w:rPr>
        <w:rStyle w:val="slostrnky"/>
        <w:i/>
        <w:iCs/>
      </w:rPr>
      <w:t>6</w:t>
    </w:r>
    <w:r w:rsidRPr="00935E49">
      <w:rPr>
        <w:rStyle w:val="slostrnky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64925" w14:textId="77777777" w:rsidR="00A960D1" w:rsidRDefault="00A960D1">
      <w:r>
        <w:separator/>
      </w:r>
    </w:p>
  </w:footnote>
  <w:footnote w:type="continuationSeparator" w:id="0">
    <w:p w14:paraId="27BA48F4" w14:textId="77777777" w:rsidR="00A960D1" w:rsidRDefault="00A96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7A0D" w14:textId="3E9E242D" w:rsidR="009F72BE" w:rsidRPr="009F72BE" w:rsidRDefault="009F72BE" w:rsidP="009F72BE">
    <w:pPr>
      <w:pStyle w:val="Zhlav"/>
      <w:jc w:val="right"/>
      <w:rPr>
        <w:i/>
        <w:iCs/>
        <w:color w:val="7F7F7F" w:themeColor="text1" w:themeTint="80"/>
      </w:rPr>
    </w:pPr>
    <w:r w:rsidRPr="009F72BE">
      <w:rPr>
        <w:i/>
        <w:iCs/>
        <w:color w:val="7F7F7F" w:themeColor="text1" w:themeTint="80"/>
      </w:rPr>
      <w:t>Politika řízení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4018E"/>
    <w:multiLevelType w:val="hybridMultilevel"/>
    <w:tmpl w:val="8C7E2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12393"/>
    <w:multiLevelType w:val="hybridMultilevel"/>
    <w:tmpl w:val="2A5ED5C8"/>
    <w:lvl w:ilvl="0" w:tplc="66D0D2BC">
      <w:start w:val="1"/>
      <w:numFmt w:val="lowerLetter"/>
      <w:pStyle w:val="2rovelnk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3370CC"/>
    <w:multiLevelType w:val="hybridMultilevel"/>
    <w:tmpl w:val="62302BB2"/>
    <w:lvl w:ilvl="0" w:tplc="8AE643E6">
      <w:start w:val="1"/>
      <w:numFmt w:val="decimal"/>
      <w:pStyle w:val="1rovelnku"/>
      <w:lvlText w:val="%1."/>
      <w:lvlJc w:val="left"/>
      <w:pPr>
        <w:ind w:left="2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54362"/>
    <w:multiLevelType w:val="hybridMultilevel"/>
    <w:tmpl w:val="73BED2B2"/>
    <w:lvl w:ilvl="0" w:tplc="66D0D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71D3F"/>
    <w:multiLevelType w:val="hybridMultilevel"/>
    <w:tmpl w:val="86E6B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17F42"/>
    <w:multiLevelType w:val="hybridMultilevel"/>
    <w:tmpl w:val="A622E7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22533"/>
    <w:multiLevelType w:val="hybridMultilevel"/>
    <w:tmpl w:val="BA5AB242"/>
    <w:lvl w:ilvl="0" w:tplc="66D0D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0F3037"/>
    <w:multiLevelType w:val="hybridMultilevel"/>
    <w:tmpl w:val="C22468B2"/>
    <w:lvl w:ilvl="0" w:tplc="278228F0">
      <w:start w:val="1"/>
      <w:numFmt w:val="bullet"/>
      <w:pStyle w:val="3rovelnku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2166B0"/>
    <w:multiLevelType w:val="hybridMultilevel"/>
    <w:tmpl w:val="87F42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</w:num>
  <w:num w:numId="11">
    <w:abstractNumId w:val="1"/>
  </w:num>
  <w:num w:numId="12">
    <w:abstractNumId w:val="1"/>
  </w:num>
  <w:num w:numId="13">
    <w:abstractNumId w:val="8"/>
  </w:num>
  <w:num w:numId="14">
    <w:abstractNumId w:val="1"/>
  </w:num>
  <w:num w:numId="15">
    <w:abstractNumId w:val="1"/>
    <w:lvlOverride w:ilvl="0">
      <w:startOverride w:val="1"/>
    </w:lvlOverride>
  </w:num>
  <w:num w:numId="16">
    <w:abstractNumId w:val="0"/>
  </w:num>
  <w:num w:numId="17">
    <w:abstractNumId w:val="1"/>
  </w:num>
  <w:num w:numId="18">
    <w:abstractNumId w:val="1"/>
    <w:lvlOverride w:ilvl="0">
      <w:startOverride w:val="1"/>
    </w:lvlOverride>
  </w:num>
  <w:num w:numId="19">
    <w:abstractNumId w:val="1"/>
  </w:num>
  <w:num w:numId="20">
    <w:abstractNumId w:val="1"/>
    <w:lvlOverride w:ilvl="0">
      <w:startOverride w:val="1"/>
    </w:lvlOverride>
  </w:num>
  <w:num w:numId="21">
    <w:abstractNumId w:val="5"/>
  </w:num>
  <w:num w:numId="22">
    <w:abstractNumId w:val="1"/>
  </w:num>
  <w:num w:numId="23">
    <w:abstractNumId w:val="1"/>
    <w:lvlOverride w:ilvl="0">
      <w:startOverride w:val="1"/>
    </w:lvlOverride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30C"/>
    <w:rsid w:val="00001004"/>
    <w:rsid w:val="000131BE"/>
    <w:rsid w:val="00023854"/>
    <w:rsid w:val="000253F0"/>
    <w:rsid w:val="00032DA1"/>
    <w:rsid w:val="00033D92"/>
    <w:rsid w:val="0003491F"/>
    <w:rsid w:val="00037E04"/>
    <w:rsid w:val="0004197A"/>
    <w:rsid w:val="00042499"/>
    <w:rsid w:val="0005000F"/>
    <w:rsid w:val="0005137A"/>
    <w:rsid w:val="00060CC7"/>
    <w:rsid w:val="00077D56"/>
    <w:rsid w:val="00084219"/>
    <w:rsid w:val="000875B4"/>
    <w:rsid w:val="0009098A"/>
    <w:rsid w:val="000A00FE"/>
    <w:rsid w:val="000A3ADB"/>
    <w:rsid w:val="000B3A66"/>
    <w:rsid w:val="000B535B"/>
    <w:rsid w:val="000C4CB9"/>
    <w:rsid w:val="000E2E29"/>
    <w:rsid w:val="000F3980"/>
    <w:rsid w:val="00106E3A"/>
    <w:rsid w:val="0012038F"/>
    <w:rsid w:val="00121170"/>
    <w:rsid w:val="0012377C"/>
    <w:rsid w:val="00130045"/>
    <w:rsid w:val="00135910"/>
    <w:rsid w:val="0014330C"/>
    <w:rsid w:val="00152F4E"/>
    <w:rsid w:val="0016117D"/>
    <w:rsid w:val="001669F9"/>
    <w:rsid w:val="00181A1A"/>
    <w:rsid w:val="00185DD5"/>
    <w:rsid w:val="00187896"/>
    <w:rsid w:val="00187C82"/>
    <w:rsid w:val="0019323C"/>
    <w:rsid w:val="001D4223"/>
    <w:rsid w:val="001D4A53"/>
    <w:rsid w:val="001E1532"/>
    <w:rsid w:val="001E4677"/>
    <w:rsid w:val="001F6868"/>
    <w:rsid w:val="002058D9"/>
    <w:rsid w:val="00205C19"/>
    <w:rsid w:val="00210594"/>
    <w:rsid w:val="002109EC"/>
    <w:rsid w:val="00212A0D"/>
    <w:rsid w:val="00213C3A"/>
    <w:rsid w:val="00215715"/>
    <w:rsid w:val="00225027"/>
    <w:rsid w:val="002264ED"/>
    <w:rsid w:val="00227260"/>
    <w:rsid w:val="0022728B"/>
    <w:rsid w:val="00230596"/>
    <w:rsid w:val="0023369D"/>
    <w:rsid w:val="002367CC"/>
    <w:rsid w:val="0024730B"/>
    <w:rsid w:val="00253928"/>
    <w:rsid w:val="00271A55"/>
    <w:rsid w:val="00283B5E"/>
    <w:rsid w:val="00293C4D"/>
    <w:rsid w:val="0029568C"/>
    <w:rsid w:val="002A50A9"/>
    <w:rsid w:val="002A7F92"/>
    <w:rsid w:val="002B275A"/>
    <w:rsid w:val="002B2C15"/>
    <w:rsid w:val="002B5533"/>
    <w:rsid w:val="002D5A3D"/>
    <w:rsid w:val="002F54B7"/>
    <w:rsid w:val="003312C7"/>
    <w:rsid w:val="00332105"/>
    <w:rsid w:val="00345A8A"/>
    <w:rsid w:val="0034630B"/>
    <w:rsid w:val="003500DF"/>
    <w:rsid w:val="003524AA"/>
    <w:rsid w:val="00361267"/>
    <w:rsid w:val="003653C3"/>
    <w:rsid w:val="00367EA8"/>
    <w:rsid w:val="00370850"/>
    <w:rsid w:val="00376FCD"/>
    <w:rsid w:val="00381306"/>
    <w:rsid w:val="00382AE9"/>
    <w:rsid w:val="003830B4"/>
    <w:rsid w:val="00394D74"/>
    <w:rsid w:val="003C0538"/>
    <w:rsid w:val="003C5E82"/>
    <w:rsid w:val="003D5DBD"/>
    <w:rsid w:val="003E286B"/>
    <w:rsid w:val="003E5B25"/>
    <w:rsid w:val="003F03E4"/>
    <w:rsid w:val="003F4390"/>
    <w:rsid w:val="00403166"/>
    <w:rsid w:val="00406B91"/>
    <w:rsid w:val="004115A4"/>
    <w:rsid w:val="004145F4"/>
    <w:rsid w:val="00423566"/>
    <w:rsid w:val="00425802"/>
    <w:rsid w:val="004277D3"/>
    <w:rsid w:val="00444DDC"/>
    <w:rsid w:val="004533C0"/>
    <w:rsid w:val="004555FB"/>
    <w:rsid w:val="0046028D"/>
    <w:rsid w:val="004628CF"/>
    <w:rsid w:val="004632E3"/>
    <w:rsid w:val="0046650E"/>
    <w:rsid w:val="004709CD"/>
    <w:rsid w:val="00475AF0"/>
    <w:rsid w:val="00483FD2"/>
    <w:rsid w:val="00492B89"/>
    <w:rsid w:val="0049724A"/>
    <w:rsid w:val="004A0496"/>
    <w:rsid w:val="004A2289"/>
    <w:rsid w:val="004B16F6"/>
    <w:rsid w:val="004C28CB"/>
    <w:rsid w:val="004C5F27"/>
    <w:rsid w:val="004C76D9"/>
    <w:rsid w:val="004D75A1"/>
    <w:rsid w:val="004E09D8"/>
    <w:rsid w:val="004E552D"/>
    <w:rsid w:val="004F50C6"/>
    <w:rsid w:val="004F7E5D"/>
    <w:rsid w:val="005013C2"/>
    <w:rsid w:val="0050341B"/>
    <w:rsid w:val="00505230"/>
    <w:rsid w:val="00512151"/>
    <w:rsid w:val="00532331"/>
    <w:rsid w:val="00533366"/>
    <w:rsid w:val="00535742"/>
    <w:rsid w:val="00536DBA"/>
    <w:rsid w:val="00562956"/>
    <w:rsid w:val="005721D6"/>
    <w:rsid w:val="00574A4D"/>
    <w:rsid w:val="00575FD2"/>
    <w:rsid w:val="00576AC0"/>
    <w:rsid w:val="0058501E"/>
    <w:rsid w:val="00587E3A"/>
    <w:rsid w:val="005A19AA"/>
    <w:rsid w:val="005A308E"/>
    <w:rsid w:val="005B41AD"/>
    <w:rsid w:val="005B5FFE"/>
    <w:rsid w:val="005B76E7"/>
    <w:rsid w:val="005C3590"/>
    <w:rsid w:val="005E0C12"/>
    <w:rsid w:val="005E4D41"/>
    <w:rsid w:val="005F1272"/>
    <w:rsid w:val="005F13C3"/>
    <w:rsid w:val="00605543"/>
    <w:rsid w:val="0061327B"/>
    <w:rsid w:val="00620651"/>
    <w:rsid w:val="006302CB"/>
    <w:rsid w:val="00631DED"/>
    <w:rsid w:val="00632D6C"/>
    <w:rsid w:val="00634B89"/>
    <w:rsid w:val="00634C75"/>
    <w:rsid w:val="006459DE"/>
    <w:rsid w:val="00667EE2"/>
    <w:rsid w:val="006751BA"/>
    <w:rsid w:val="0067737A"/>
    <w:rsid w:val="0067738B"/>
    <w:rsid w:val="0068014A"/>
    <w:rsid w:val="00680804"/>
    <w:rsid w:val="00683F77"/>
    <w:rsid w:val="00684566"/>
    <w:rsid w:val="00686FFB"/>
    <w:rsid w:val="00690B60"/>
    <w:rsid w:val="00691EB5"/>
    <w:rsid w:val="006B27F1"/>
    <w:rsid w:val="006B517D"/>
    <w:rsid w:val="006C64B9"/>
    <w:rsid w:val="006D42AC"/>
    <w:rsid w:val="006F600B"/>
    <w:rsid w:val="0070149A"/>
    <w:rsid w:val="00705C3E"/>
    <w:rsid w:val="00712470"/>
    <w:rsid w:val="00712E84"/>
    <w:rsid w:val="00733AED"/>
    <w:rsid w:val="00736A13"/>
    <w:rsid w:val="007460DA"/>
    <w:rsid w:val="00753B86"/>
    <w:rsid w:val="00753CE5"/>
    <w:rsid w:val="00755354"/>
    <w:rsid w:val="00773AAB"/>
    <w:rsid w:val="00792DF9"/>
    <w:rsid w:val="007A2690"/>
    <w:rsid w:val="007B007E"/>
    <w:rsid w:val="007B5D10"/>
    <w:rsid w:val="007C1DA3"/>
    <w:rsid w:val="007D340F"/>
    <w:rsid w:val="007D36C4"/>
    <w:rsid w:val="007E3585"/>
    <w:rsid w:val="00804880"/>
    <w:rsid w:val="00804E9F"/>
    <w:rsid w:val="008100CA"/>
    <w:rsid w:val="00810586"/>
    <w:rsid w:val="00822274"/>
    <w:rsid w:val="00827EE2"/>
    <w:rsid w:val="00830B1A"/>
    <w:rsid w:val="00830BFC"/>
    <w:rsid w:val="00833D0C"/>
    <w:rsid w:val="0083722F"/>
    <w:rsid w:val="00862A43"/>
    <w:rsid w:val="00867BDC"/>
    <w:rsid w:val="008848FD"/>
    <w:rsid w:val="00887C1A"/>
    <w:rsid w:val="00897E50"/>
    <w:rsid w:val="008A10E4"/>
    <w:rsid w:val="008A735E"/>
    <w:rsid w:val="008B4AA8"/>
    <w:rsid w:val="008C102B"/>
    <w:rsid w:val="008D06A0"/>
    <w:rsid w:val="008D6011"/>
    <w:rsid w:val="008D6D54"/>
    <w:rsid w:val="008D7350"/>
    <w:rsid w:val="008E5B16"/>
    <w:rsid w:val="00904B32"/>
    <w:rsid w:val="00912394"/>
    <w:rsid w:val="00920CE5"/>
    <w:rsid w:val="0092127D"/>
    <w:rsid w:val="00931962"/>
    <w:rsid w:val="00931C59"/>
    <w:rsid w:val="00932F58"/>
    <w:rsid w:val="00935646"/>
    <w:rsid w:val="00940E94"/>
    <w:rsid w:val="009446BA"/>
    <w:rsid w:val="00946F7B"/>
    <w:rsid w:val="00947D75"/>
    <w:rsid w:val="00950B92"/>
    <w:rsid w:val="00956287"/>
    <w:rsid w:val="00983886"/>
    <w:rsid w:val="00990061"/>
    <w:rsid w:val="00993442"/>
    <w:rsid w:val="009A0B6D"/>
    <w:rsid w:val="009B544F"/>
    <w:rsid w:val="009C56D3"/>
    <w:rsid w:val="009D18D2"/>
    <w:rsid w:val="009D3277"/>
    <w:rsid w:val="009D7CF6"/>
    <w:rsid w:val="009E216B"/>
    <w:rsid w:val="009F72BE"/>
    <w:rsid w:val="00A412F6"/>
    <w:rsid w:val="00A76566"/>
    <w:rsid w:val="00A80FE4"/>
    <w:rsid w:val="00A863A9"/>
    <w:rsid w:val="00A90588"/>
    <w:rsid w:val="00A960D1"/>
    <w:rsid w:val="00A96D55"/>
    <w:rsid w:val="00AA524C"/>
    <w:rsid w:val="00AA7580"/>
    <w:rsid w:val="00AB4E72"/>
    <w:rsid w:val="00AC40D6"/>
    <w:rsid w:val="00AC500D"/>
    <w:rsid w:val="00AC6617"/>
    <w:rsid w:val="00AD2172"/>
    <w:rsid w:val="00AE7933"/>
    <w:rsid w:val="00AF38E8"/>
    <w:rsid w:val="00B131B3"/>
    <w:rsid w:val="00B20197"/>
    <w:rsid w:val="00B30C25"/>
    <w:rsid w:val="00B42A1A"/>
    <w:rsid w:val="00B444B3"/>
    <w:rsid w:val="00B53385"/>
    <w:rsid w:val="00B60146"/>
    <w:rsid w:val="00B60E17"/>
    <w:rsid w:val="00B617FE"/>
    <w:rsid w:val="00B6699F"/>
    <w:rsid w:val="00B7686D"/>
    <w:rsid w:val="00B84D4D"/>
    <w:rsid w:val="00B90005"/>
    <w:rsid w:val="00B9436E"/>
    <w:rsid w:val="00BA44C7"/>
    <w:rsid w:val="00BA714D"/>
    <w:rsid w:val="00BB7F11"/>
    <w:rsid w:val="00BC069B"/>
    <w:rsid w:val="00BD71EA"/>
    <w:rsid w:val="00BE5F15"/>
    <w:rsid w:val="00BF6AE6"/>
    <w:rsid w:val="00C00502"/>
    <w:rsid w:val="00C03129"/>
    <w:rsid w:val="00C229F8"/>
    <w:rsid w:val="00C271EA"/>
    <w:rsid w:val="00C33424"/>
    <w:rsid w:val="00C41BDA"/>
    <w:rsid w:val="00C6685C"/>
    <w:rsid w:val="00C81611"/>
    <w:rsid w:val="00C84433"/>
    <w:rsid w:val="00C90418"/>
    <w:rsid w:val="00C92D4A"/>
    <w:rsid w:val="00C9585B"/>
    <w:rsid w:val="00CB75D4"/>
    <w:rsid w:val="00CC0E8C"/>
    <w:rsid w:val="00CC0FE6"/>
    <w:rsid w:val="00CC1DD9"/>
    <w:rsid w:val="00CC3F51"/>
    <w:rsid w:val="00CC5BFD"/>
    <w:rsid w:val="00CD0BAA"/>
    <w:rsid w:val="00CD2629"/>
    <w:rsid w:val="00CE79DA"/>
    <w:rsid w:val="00CF533B"/>
    <w:rsid w:val="00D20B18"/>
    <w:rsid w:val="00D229CA"/>
    <w:rsid w:val="00D35B89"/>
    <w:rsid w:val="00D42EC1"/>
    <w:rsid w:val="00D460C3"/>
    <w:rsid w:val="00D5020B"/>
    <w:rsid w:val="00D546D2"/>
    <w:rsid w:val="00D60555"/>
    <w:rsid w:val="00D608E0"/>
    <w:rsid w:val="00D610D4"/>
    <w:rsid w:val="00D64092"/>
    <w:rsid w:val="00D65AC2"/>
    <w:rsid w:val="00D72600"/>
    <w:rsid w:val="00D83962"/>
    <w:rsid w:val="00D922E4"/>
    <w:rsid w:val="00D951DA"/>
    <w:rsid w:val="00DA2216"/>
    <w:rsid w:val="00DA3172"/>
    <w:rsid w:val="00DA3752"/>
    <w:rsid w:val="00DC56D8"/>
    <w:rsid w:val="00DC6D71"/>
    <w:rsid w:val="00DD123A"/>
    <w:rsid w:val="00DD22D2"/>
    <w:rsid w:val="00DD2984"/>
    <w:rsid w:val="00DD4B28"/>
    <w:rsid w:val="00DE3CE1"/>
    <w:rsid w:val="00E01022"/>
    <w:rsid w:val="00E02E7A"/>
    <w:rsid w:val="00E20388"/>
    <w:rsid w:val="00E30DFC"/>
    <w:rsid w:val="00E3177C"/>
    <w:rsid w:val="00E31CC7"/>
    <w:rsid w:val="00E52742"/>
    <w:rsid w:val="00E6102B"/>
    <w:rsid w:val="00E65D8D"/>
    <w:rsid w:val="00E86E5C"/>
    <w:rsid w:val="00E910B2"/>
    <w:rsid w:val="00E975CB"/>
    <w:rsid w:val="00EB4050"/>
    <w:rsid w:val="00EB6EE6"/>
    <w:rsid w:val="00EC686B"/>
    <w:rsid w:val="00ED42B1"/>
    <w:rsid w:val="00EF0738"/>
    <w:rsid w:val="00EF1669"/>
    <w:rsid w:val="00F068E0"/>
    <w:rsid w:val="00F14C2C"/>
    <w:rsid w:val="00F37DDC"/>
    <w:rsid w:val="00F419B2"/>
    <w:rsid w:val="00F467FE"/>
    <w:rsid w:val="00F47421"/>
    <w:rsid w:val="00F539C2"/>
    <w:rsid w:val="00F5630C"/>
    <w:rsid w:val="00F7693C"/>
    <w:rsid w:val="00F82BE8"/>
    <w:rsid w:val="00F902C4"/>
    <w:rsid w:val="00FA2D38"/>
    <w:rsid w:val="00FA72BC"/>
    <w:rsid w:val="00FC2244"/>
    <w:rsid w:val="00FC5237"/>
    <w:rsid w:val="00FD05ED"/>
    <w:rsid w:val="00FD12EB"/>
    <w:rsid w:val="00FD62CC"/>
    <w:rsid w:val="00FD695C"/>
    <w:rsid w:val="00FE5943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F346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1A5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62956"/>
    <w:pPr>
      <w:spacing w:after="120"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0B1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autoRedefine/>
    <w:rsid w:val="00605543"/>
    <w:pPr>
      <w:keepNext/>
      <w:spacing w:after="120"/>
      <w:jc w:val="center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271A55"/>
    <w:rPr>
      <w:sz w:val="20"/>
      <w:szCs w:val="20"/>
    </w:rPr>
  </w:style>
  <w:style w:type="character" w:styleId="Znakapoznpodarou">
    <w:name w:val="footnote reference"/>
    <w:semiHidden/>
    <w:rsid w:val="00271A55"/>
    <w:rPr>
      <w:vertAlign w:val="superscript"/>
    </w:rPr>
  </w:style>
  <w:style w:type="paragraph" w:styleId="Zpat">
    <w:name w:val="footer"/>
    <w:basedOn w:val="Normln"/>
    <w:link w:val="ZpatChar"/>
    <w:uiPriority w:val="99"/>
    <w:rsid w:val="00271A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qFormat/>
    <w:rsid w:val="00271A55"/>
  </w:style>
  <w:style w:type="paragraph" w:customStyle="1" w:styleId="BodyText21">
    <w:name w:val="Body Text 21"/>
    <w:basedOn w:val="Normln"/>
    <w:rsid w:val="00271A55"/>
    <w:pPr>
      <w:widowControl w:val="0"/>
      <w:autoSpaceDE w:val="0"/>
      <w:autoSpaceDN w:val="0"/>
      <w:spacing w:line="321" w:lineRule="exact"/>
      <w:jc w:val="both"/>
    </w:pPr>
    <w:rPr>
      <w:sz w:val="20"/>
    </w:rPr>
  </w:style>
  <w:style w:type="paragraph" w:styleId="Zkladntext3">
    <w:name w:val="Body Text 3"/>
    <w:basedOn w:val="Normln"/>
    <w:rsid w:val="00271A55"/>
    <w:pPr>
      <w:autoSpaceDE w:val="0"/>
      <w:autoSpaceDN w:val="0"/>
      <w:spacing w:line="292" w:lineRule="exact"/>
      <w:ind w:right="72"/>
      <w:jc w:val="both"/>
    </w:pPr>
    <w:rPr>
      <w:i/>
      <w:iCs/>
      <w:sz w:val="20"/>
    </w:rPr>
  </w:style>
  <w:style w:type="paragraph" w:styleId="Textbubliny">
    <w:name w:val="Balloon Text"/>
    <w:basedOn w:val="Normln"/>
    <w:semiHidden/>
    <w:rsid w:val="005721D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9D3277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rsid w:val="00683F77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152F4E"/>
    <w:pPr>
      <w:spacing w:after="120"/>
      <w:ind w:left="283"/>
    </w:pPr>
  </w:style>
  <w:style w:type="paragraph" w:styleId="Normlnweb">
    <w:name w:val="Normal (Web)"/>
    <w:basedOn w:val="Normln"/>
    <w:rsid w:val="00C92D4A"/>
    <w:pPr>
      <w:spacing w:before="100" w:beforeAutospacing="1" w:after="100" w:afterAutospacing="1"/>
    </w:pPr>
  </w:style>
  <w:style w:type="paragraph" w:customStyle="1" w:styleId="Stylst">
    <w:name w:val="Styl Část"/>
    <w:basedOn w:val="Normln"/>
    <w:next w:val="Normln"/>
    <w:link w:val="StylstChar"/>
    <w:qFormat/>
    <w:rsid w:val="00830B1A"/>
    <w:pPr>
      <w:spacing w:after="120"/>
      <w:jc w:val="center"/>
    </w:pPr>
    <w:rPr>
      <w:b/>
    </w:rPr>
  </w:style>
  <w:style w:type="character" w:customStyle="1" w:styleId="Nadpis1Char">
    <w:name w:val="Nadpis 1 Char"/>
    <w:link w:val="Nadpis1"/>
    <w:uiPriority w:val="9"/>
    <w:rsid w:val="00562956"/>
    <w:rPr>
      <w:b/>
      <w:sz w:val="24"/>
      <w:szCs w:val="24"/>
    </w:rPr>
  </w:style>
  <w:style w:type="character" w:customStyle="1" w:styleId="StylstChar">
    <w:name w:val="Styl Část Char"/>
    <w:link w:val="Stylst"/>
    <w:rsid w:val="00830B1A"/>
    <w:rPr>
      <w:b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rsid w:val="00830B1A"/>
    <w:pPr>
      <w:keepLines/>
      <w:spacing w:after="0" w:line="259" w:lineRule="auto"/>
      <w:outlineLvl w:val="9"/>
    </w:pPr>
    <w:rPr>
      <w:b w:val="0"/>
      <w:bCs/>
      <w:color w:val="2E74B5"/>
    </w:rPr>
  </w:style>
  <w:style w:type="character" w:customStyle="1" w:styleId="Nadpis2Char">
    <w:name w:val="Nadpis 2 Char"/>
    <w:link w:val="Nadpis2"/>
    <w:uiPriority w:val="9"/>
    <w:semiHidden/>
    <w:rsid w:val="00830B1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830B1A"/>
  </w:style>
  <w:style w:type="character" w:styleId="Hypertextovodkaz">
    <w:name w:val="Hyperlink"/>
    <w:uiPriority w:val="99"/>
    <w:unhideWhenUsed/>
    <w:rsid w:val="00830B1A"/>
    <w:rPr>
      <w:color w:val="0563C1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562956"/>
    <w:pPr>
      <w:ind w:left="240"/>
    </w:pPr>
  </w:style>
  <w:style w:type="paragraph" w:customStyle="1" w:styleId="1rovelnku">
    <w:name w:val="1. úroveň článku"/>
    <w:basedOn w:val="Normln"/>
    <w:link w:val="1rovelnkuChar"/>
    <w:qFormat/>
    <w:rsid w:val="00562956"/>
    <w:pPr>
      <w:numPr>
        <w:numId w:val="3"/>
      </w:numPr>
      <w:spacing w:after="120"/>
      <w:jc w:val="both"/>
    </w:pPr>
  </w:style>
  <w:style w:type="paragraph" w:customStyle="1" w:styleId="2rovelnku">
    <w:name w:val="2. úroveň článku"/>
    <w:basedOn w:val="Normln"/>
    <w:link w:val="2rovelnkuChar"/>
    <w:qFormat/>
    <w:rsid w:val="00862A43"/>
    <w:pPr>
      <w:numPr>
        <w:numId w:val="1"/>
      </w:numPr>
      <w:spacing w:after="120"/>
      <w:jc w:val="both"/>
    </w:pPr>
  </w:style>
  <w:style w:type="character" w:customStyle="1" w:styleId="1rovelnkuChar">
    <w:name w:val="1. úroveň článku Char"/>
    <w:link w:val="1rovelnku"/>
    <w:rsid w:val="00562956"/>
    <w:rPr>
      <w:sz w:val="24"/>
      <w:szCs w:val="24"/>
    </w:rPr>
  </w:style>
  <w:style w:type="paragraph" w:customStyle="1" w:styleId="3rovelnku">
    <w:name w:val="3. úroveň článku"/>
    <w:basedOn w:val="Normln"/>
    <w:link w:val="3rovelnkuChar"/>
    <w:qFormat/>
    <w:rsid w:val="00AE7933"/>
    <w:pPr>
      <w:numPr>
        <w:numId w:val="2"/>
      </w:numPr>
      <w:spacing w:after="120"/>
      <w:jc w:val="both"/>
    </w:pPr>
  </w:style>
  <w:style w:type="character" w:customStyle="1" w:styleId="2rovelnkuChar">
    <w:name w:val="2. úroveň článku Char"/>
    <w:link w:val="2rovelnku"/>
    <w:rsid w:val="00862A43"/>
    <w:rPr>
      <w:sz w:val="24"/>
      <w:szCs w:val="24"/>
    </w:rPr>
  </w:style>
  <w:style w:type="character" w:customStyle="1" w:styleId="3rovelnkuChar">
    <w:name w:val="3. úroveň článku Char"/>
    <w:link w:val="3rovelnku"/>
    <w:rsid w:val="00AE793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D36C4"/>
    <w:pPr>
      <w:spacing w:before="200" w:after="200" w:line="276" w:lineRule="auto"/>
      <w:ind w:left="720"/>
      <w:contextualSpacing/>
      <w:jc w:val="both"/>
    </w:pPr>
    <w:rPr>
      <w:rFonts w:ascii="Arial" w:eastAsiaTheme="minorHAnsi" w:hAnsi="Arial" w:cstheme="minorBidi"/>
      <w:szCs w:val="20"/>
      <w:lang w:eastAsia="en-US" w:bidi="en-US"/>
    </w:rPr>
  </w:style>
  <w:style w:type="paragraph" w:customStyle="1" w:styleId="Tlotextu">
    <w:name w:val="Tělo textu"/>
    <w:basedOn w:val="Normln"/>
    <w:rsid w:val="00B131B3"/>
    <w:pPr>
      <w:suppressAutoHyphens/>
      <w:spacing w:after="140" w:line="288" w:lineRule="auto"/>
    </w:pPr>
    <w:rPr>
      <w:rFonts w:eastAsia="Droid Sans Fallback" w:cs="Calibri"/>
      <w:szCs w:val="22"/>
      <w:lang w:eastAsia="en-US"/>
    </w:rPr>
  </w:style>
  <w:style w:type="paragraph" w:styleId="Seznam">
    <w:name w:val="List"/>
    <w:basedOn w:val="Tlotextu"/>
    <w:rsid w:val="00691EB5"/>
    <w:rPr>
      <w:rFonts w:cs="FreeSans"/>
    </w:rPr>
  </w:style>
  <w:style w:type="paragraph" w:customStyle="1" w:styleId="Styl2">
    <w:name w:val="Styl2"/>
    <w:basedOn w:val="Nadpis1"/>
    <w:link w:val="Styl2Char"/>
    <w:qFormat/>
    <w:rsid w:val="00691EB5"/>
    <w:pPr>
      <w:keepNext/>
      <w:spacing w:after="0"/>
      <w:jc w:val="left"/>
    </w:pPr>
    <w:rPr>
      <w:rFonts w:ascii="Arial" w:hAnsi="Arial" w:cs="Arial"/>
      <w:color w:val="00B0F0"/>
      <w:spacing w:val="15"/>
      <w:sz w:val="28"/>
      <w:lang w:bidi="en-US"/>
    </w:rPr>
  </w:style>
  <w:style w:type="character" w:customStyle="1" w:styleId="Styl2Char">
    <w:name w:val="Styl2 Char"/>
    <w:basedOn w:val="Nadpis1Char"/>
    <w:link w:val="Styl2"/>
    <w:rsid w:val="00691EB5"/>
    <w:rPr>
      <w:rFonts w:ascii="Arial" w:hAnsi="Arial" w:cs="Arial"/>
      <w:b/>
      <w:color w:val="00B0F0"/>
      <w:spacing w:val="15"/>
      <w:sz w:val="28"/>
      <w:szCs w:val="24"/>
      <w:lang w:bidi="en-US"/>
    </w:rPr>
  </w:style>
  <w:style w:type="character" w:customStyle="1" w:styleId="PodtitulChar">
    <w:name w:val="Podtitul Char"/>
    <w:link w:val="Podtitul1"/>
    <w:locked/>
    <w:rsid w:val="00D35B89"/>
    <w:rPr>
      <w:sz w:val="44"/>
      <w:szCs w:val="24"/>
      <w:lang w:val="x-none" w:eastAsia="x-none"/>
    </w:rPr>
  </w:style>
  <w:style w:type="paragraph" w:customStyle="1" w:styleId="Podtitul1">
    <w:name w:val="Podtitul1"/>
    <w:basedOn w:val="Normln"/>
    <w:link w:val="PodtitulChar"/>
    <w:qFormat/>
    <w:rsid w:val="00D35B89"/>
    <w:pPr>
      <w:jc w:val="center"/>
    </w:pPr>
    <w:rPr>
      <w:sz w:val="4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031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Links>
    <vt:vector size="36" baseType="variant">
      <vt:variant>
        <vt:i4>1966141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_Toc526861828</vt:lpwstr>
      </vt:variant>
      <vt:variant>
        <vt:i4>1966141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_Toc526861827</vt:lpwstr>
      </vt:variant>
      <vt:variant>
        <vt:i4>1966141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_Toc526861826</vt:lpwstr>
      </vt:variant>
      <vt:variant>
        <vt:i4>1966141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_Toc526861825</vt:lpwstr>
      </vt:variant>
      <vt:variant>
        <vt:i4>1966141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_Toc526861824</vt:lpwstr>
      </vt:variant>
      <vt:variant>
        <vt:i4>1966141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_Toc526861823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2021-10-19T19:54:00Z</dcterms:created>
  <dcterms:modified xsi:type="dcterms:W3CDTF">2021-10-19T20:51:00Z</dcterms:modified>
</cp:coreProperties>
</file>